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4A5E" w14:textId="77777777" w:rsidR="00282C69" w:rsidRPr="007B6D18" w:rsidRDefault="00282C69" w:rsidP="00282C69">
      <w:pPr>
        <w:spacing w:after="0" w:line="240" w:lineRule="auto"/>
        <w:rPr>
          <w:rFonts w:ascii="Arial" w:hAnsi="Arial" w:cs="Arial"/>
          <w:b/>
          <w:color w:val="000000"/>
        </w:rPr>
      </w:pPr>
      <w:r w:rsidRPr="007B6D18">
        <w:rPr>
          <w:rFonts w:ascii="Arial" w:hAnsi="Arial" w:cs="Arial"/>
          <w:b/>
          <w:color w:val="000000"/>
        </w:rPr>
        <w:t>Naziv obveznika: Psihijatrijska bolnica Rab</w:t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  <w:t>Broj RKP-a: 29437</w:t>
      </w:r>
    </w:p>
    <w:p w14:paraId="7ADEDFFF" w14:textId="77777777" w:rsidR="00282C69" w:rsidRPr="007B6D18" w:rsidRDefault="00282C69" w:rsidP="00282C69">
      <w:pPr>
        <w:spacing w:after="0" w:line="240" w:lineRule="auto"/>
        <w:rPr>
          <w:rFonts w:ascii="Arial" w:hAnsi="Arial" w:cs="Arial"/>
          <w:b/>
          <w:color w:val="000000"/>
        </w:rPr>
      </w:pPr>
      <w:r w:rsidRPr="007B6D18">
        <w:rPr>
          <w:rFonts w:ascii="Arial" w:hAnsi="Arial" w:cs="Arial"/>
          <w:b/>
          <w:color w:val="000000"/>
        </w:rPr>
        <w:t>Sjedište obveznika: Kampor 224, 51280 Rab</w:t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  <w:t>Matični broj: 03088952</w:t>
      </w:r>
    </w:p>
    <w:p w14:paraId="53443066" w14:textId="77777777" w:rsidR="00282C69" w:rsidRPr="007B6D18" w:rsidRDefault="00282C69" w:rsidP="00282C69">
      <w:pPr>
        <w:spacing w:after="0" w:line="240" w:lineRule="auto"/>
        <w:rPr>
          <w:rFonts w:ascii="Arial" w:hAnsi="Arial" w:cs="Arial"/>
          <w:b/>
          <w:color w:val="000000"/>
        </w:rPr>
      </w:pPr>
      <w:r w:rsidRPr="007B6D18">
        <w:rPr>
          <w:rFonts w:ascii="Arial" w:hAnsi="Arial" w:cs="Arial"/>
          <w:b/>
          <w:color w:val="000000"/>
        </w:rPr>
        <w:t>Adresa sjedišta obveznika: Kampor 224, 51280 Rab</w:t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  <w:t>OIB: 91616680822</w:t>
      </w:r>
    </w:p>
    <w:p w14:paraId="7A018F25" w14:textId="32861112" w:rsidR="00282C69" w:rsidRPr="007B6D18" w:rsidRDefault="00282C69" w:rsidP="00282C69">
      <w:pPr>
        <w:spacing w:after="0" w:line="240" w:lineRule="auto"/>
        <w:rPr>
          <w:rFonts w:ascii="Arial" w:hAnsi="Arial" w:cs="Arial"/>
          <w:b/>
          <w:color w:val="000000"/>
        </w:rPr>
      </w:pPr>
      <w:r w:rsidRPr="007B6D18">
        <w:rPr>
          <w:rFonts w:ascii="Arial" w:hAnsi="Arial" w:cs="Arial"/>
          <w:b/>
          <w:color w:val="000000"/>
        </w:rPr>
        <w:t>Razina: 31</w:t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ab/>
      </w:r>
      <w:r w:rsidR="008613C3">
        <w:rPr>
          <w:rFonts w:ascii="Arial" w:hAnsi="Arial" w:cs="Arial"/>
          <w:b/>
          <w:color w:val="000000"/>
        </w:rPr>
        <w:tab/>
      </w:r>
      <w:r w:rsidRPr="007B6D18">
        <w:rPr>
          <w:rFonts w:ascii="Arial" w:hAnsi="Arial" w:cs="Arial"/>
          <w:b/>
          <w:color w:val="000000"/>
        </w:rPr>
        <w:t>Šifra djelatnosti: 8610</w:t>
      </w:r>
    </w:p>
    <w:p w14:paraId="28DD7355" w14:textId="77777777" w:rsidR="00282C69" w:rsidRPr="007B6D18" w:rsidRDefault="00282C69" w:rsidP="00282C69">
      <w:pPr>
        <w:spacing w:after="0" w:line="240" w:lineRule="auto"/>
        <w:rPr>
          <w:rFonts w:ascii="Arial" w:hAnsi="Arial" w:cs="Arial"/>
          <w:b/>
          <w:color w:val="000000"/>
        </w:rPr>
      </w:pPr>
      <w:r w:rsidRPr="007B6D18">
        <w:rPr>
          <w:rFonts w:ascii="Arial" w:hAnsi="Arial" w:cs="Arial"/>
          <w:b/>
          <w:color w:val="000000"/>
        </w:rPr>
        <w:t>Razdjel: 0</w:t>
      </w:r>
    </w:p>
    <w:p w14:paraId="529E4524" w14:textId="72760C7E" w:rsidR="00282C69" w:rsidRDefault="00282C69" w:rsidP="00D9624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14:paraId="35CA3DAD" w14:textId="12A85CA0" w:rsidR="00D96243" w:rsidRDefault="00D96243" w:rsidP="00D96243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 temelju članka 105. Zakona o proračunu NN 87/08, 136/12, 15/15 i Pravilnika o financijskom izvještavanju u proračunskom računovodstvu NN 3/15, 93/15, 135/15, 2/17, 38/17, 112/18, 126/19, 145/20 i 32/21 </w:t>
      </w:r>
      <w:r w:rsidR="00326156">
        <w:rPr>
          <w:rFonts w:ascii="Arial" w:hAnsi="Arial" w:cs="Arial"/>
          <w:bCs/>
          <w:color w:val="000000"/>
        </w:rPr>
        <w:t xml:space="preserve">sastavljene su </w:t>
      </w:r>
    </w:p>
    <w:p w14:paraId="5FF61F5E" w14:textId="77777777" w:rsidR="00511119" w:rsidRPr="00D96243" w:rsidRDefault="00511119" w:rsidP="00D96243">
      <w:pPr>
        <w:jc w:val="both"/>
        <w:rPr>
          <w:rFonts w:ascii="Arial" w:hAnsi="Arial" w:cs="Arial"/>
          <w:bCs/>
          <w:color w:val="000000"/>
        </w:rPr>
      </w:pPr>
    </w:p>
    <w:p w14:paraId="1CCF57F0" w14:textId="77777777" w:rsidR="00282C69" w:rsidRPr="007B6D18" w:rsidRDefault="00282C69" w:rsidP="00282C6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B6D18">
        <w:rPr>
          <w:rFonts w:ascii="Arial" w:hAnsi="Arial" w:cs="Arial"/>
          <w:b/>
          <w:color w:val="C00000"/>
          <w:sz w:val="28"/>
          <w:szCs w:val="28"/>
        </w:rPr>
        <w:t>B I L J E Š K E</w:t>
      </w:r>
    </w:p>
    <w:p w14:paraId="596D4E34" w14:textId="74C66967" w:rsidR="00282C69" w:rsidRPr="007B6D18" w:rsidRDefault="00282C69" w:rsidP="00282C6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heading=h.gjdgxs" w:colFirst="0" w:colLast="0"/>
      <w:bookmarkEnd w:id="0"/>
      <w:r w:rsidRPr="007B6D18">
        <w:rPr>
          <w:rFonts w:ascii="Arial" w:hAnsi="Arial" w:cs="Arial"/>
          <w:b/>
          <w:color w:val="C00000"/>
          <w:sz w:val="28"/>
          <w:szCs w:val="28"/>
        </w:rPr>
        <w:t>UZ FINANCIJSKE IZVJEŠTAJE ZA 2021.GODINU</w:t>
      </w:r>
    </w:p>
    <w:p w14:paraId="515E0DB0" w14:textId="77777777" w:rsidR="00282C69" w:rsidRPr="007B6D18" w:rsidRDefault="00282C69" w:rsidP="00282C69">
      <w:pPr>
        <w:jc w:val="center"/>
        <w:rPr>
          <w:rFonts w:ascii="Arial" w:hAnsi="Arial" w:cs="Arial"/>
          <w:b/>
          <w:color w:val="000000"/>
        </w:rPr>
      </w:pPr>
    </w:p>
    <w:p w14:paraId="24A57DCD" w14:textId="77777777" w:rsidR="00BA3BB5" w:rsidRPr="00BA3BB5" w:rsidRDefault="00BA3BB5" w:rsidP="009C4202">
      <w:pPr>
        <w:ind w:firstLine="708"/>
        <w:jc w:val="both"/>
        <w:rPr>
          <w:rFonts w:ascii="Arial" w:hAnsi="Arial" w:cs="Arial"/>
          <w:bCs/>
          <w:color w:val="000000"/>
        </w:rPr>
      </w:pPr>
      <w:r w:rsidRPr="00BA3BB5">
        <w:rPr>
          <w:rFonts w:ascii="Arial" w:hAnsi="Arial" w:cs="Arial"/>
          <w:bCs/>
          <w:color w:val="000000"/>
        </w:rPr>
        <w:t xml:space="preserve">Psihijatrijska bolnica Rab je zdravstvena ustanova koja obavlja djelatnost dijagnostike, liječenja, medicinske rehabilitacije, resocijalizacije i njege te osigurava boravak i prehranu bolesnika. </w:t>
      </w:r>
    </w:p>
    <w:p w14:paraId="7BD7E847" w14:textId="77777777" w:rsidR="00BA3BB5" w:rsidRPr="00BA3BB5" w:rsidRDefault="00BA3BB5" w:rsidP="00BA3BB5">
      <w:pPr>
        <w:jc w:val="both"/>
        <w:rPr>
          <w:rFonts w:ascii="Arial" w:hAnsi="Arial" w:cs="Arial"/>
          <w:bCs/>
          <w:color w:val="000000"/>
        </w:rPr>
      </w:pPr>
      <w:r w:rsidRPr="00BA3BB5">
        <w:rPr>
          <w:rFonts w:ascii="Arial" w:hAnsi="Arial" w:cs="Arial"/>
          <w:bCs/>
          <w:color w:val="000000"/>
        </w:rPr>
        <w:t>Bolnica obavlja slijedeću zdravstvenu djelatnost:</w:t>
      </w:r>
    </w:p>
    <w:p w14:paraId="24F6DE96" w14:textId="12457C45" w:rsidR="00BA3BB5" w:rsidRPr="009C4202" w:rsidRDefault="00BA3BB5" w:rsidP="009C420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 xml:space="preserve">stacionarnu integralnu zdravstvenu zaštitu psihijatrijskih bolesnika, ovisnika, osoba s duševnim smetnjama i neubrojivih osoba </w:t>
      </w:r>
    </w:p>
    <w:p w14:paraId="2DC5DE76" w14:textId="2E7E6368" w:rsidR="00BA3BB5" w:rsidRPr="009C4202" w:rsidRDefault="00BA3BB5" w:rsidP="009C420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>specijalističko-konzilijarnu zdravstvenu zaštitu</w:t>
      </w:r>
    </w:p>
    <w:p w14:paraId="1AF410AA" w14:textId="5136808A" w:rsidR="00BA3BB5" w:rsidRPr="009C4202" w:rsidRDefault="00BA3BB5" w:rsidP="009C420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 xml:space="preserve">radiološku, laboratorijsku i drugu medicinsku dijagnostiku </w:t>
      </w:r>
    </w:p>
    <w:p w14:paraId="202FFB4A" w14:textId="425612B9" w:rsidR="00BA3BB5" w:rsidRPr="009C4202" w:rsidRDefault="00BA3BB5" w:rsidP="009C420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>stručno-istraživački rad iz područja psihijatrije i srodnih područja u cilju usavršavanja zdravstvene zaštite i unapređenja psihijatrijske struke</w:t>
      </w:r>
    </w:p>
    <w:p w14:paraId="7214EBD3" w14:textId="77777777" w:rsidR="00BA3BB5" w:rsidRPr="00BA3BB5" w:rsidRDefault="00BA3BB5" w:rsidP="00BA3BB5">
      <w:pPr>
        <w:jc w:val="both"/>
        <w:rPr>
          <w:rFonts w:ascii="Arial" w:hAnsi="Arial" w:cs="Arial"/>
          <w:bCs/>
          <w:color w:val="000000"/>
        </w:rPr>
      </w:pPr>
      <w:r w:rsidRPr="00BA3BB5">
        <w:rPr>
          <w:rFonts w:ascii="Arial" w:hAnsi="Arial" w:cs="Arial"/>
          <w:bCs/>
          <w:color w:val="000000"/>
        </w:rPr>
        <w:t xml:space="preserve">Bolnica može obavljati i druge djelatnosti ako se one sukladno Zakonu, u manjem opsegu ili uobičajeno obavljaju uz djelatnost upisanu u sudski registar. </w:t>
      </w:r>
    </w:p>
    <w:p w14:paraId="6F923108" w14:textId="77777777" w:rsidR="00BA3BB5" w:rsidRPr="00BA3BB5" w:rsidRDefault="00BA3BB5" w:rsidP="009C4202">
      <w:pPr>
        <w:ind w:firstLine="708"/>
        <w:jc w:val="both"/>
        <w:rPr>
          <w:rFonts w:ascii="Arial" w:hAnsi="Arial" w:cs="Arial"/>
          <w:bCs/>
          <w:color w:val="000000"/>
        </w:rPr>
      </w:pPr>
      <w:r w:rsidRPr="00BA3BB5">
        <w:rPr>
          <w:rFonts w:ascii="Arial" w:hAnsi="Arial" w:cs="Arial"/>
          <w:bCs/>
          <w:color w:val="000000"/>
        </w:rPr>
        <w:t>Psihijatrijska bolnica Rab, specijalna bolnica za psihijatriju u vlasništvu Županije Primorsko-goranske, sa Hrvatskim zavodom za zdravstveno osiguranje ima ugovoreno:</w:t>
      </w:r>
    </w:p>
    <w:p w14:paraId="566FF3BF" w14:textId="5898572A" w:rsidR="00BA3BB5" w:rsidRPr="00511119" w:rsidRDefault="00BA3BB5" w:rsidP="00511119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511119">
        <w:rPr>
          <w:rFonts w:ascii="Arial" w:hAnsi="Arial" w:cs="Arial"/>
          <w:bCs/>
          <w:color w:val="000000"/>
        </w:rPr>
        <w:t>467 – postelja za kronične duševne bolesti</w:t>
      </w:r>
    </w:p>
    <w:p w14:paraId="1FE6B956" w14:textId="305940B5" w:rsidR="00BA3BB5" w:rsidRPr="00511119" w:rsidRDefault="00BA3BB5" w:rsidP="00511119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511119">
        <w:rPr>
          <w:rFonts w:ascii="Arial" w:hAnsi="Arial" w:cs="Arial"/>
          <w:bCs/>
          <w:color w:val="000000"/>
        </w:rPr>
        <w:t>10 – postelja za liječenje akutnih bolesti</w:t>
      </w:r>
    </w:p>
    <w:p w14:paraId="7160CEA3" w14:textId="7F0C6AD3" w:rsidR="00BA3BB5" w:rsidRPr="00511119" w:rsidRDefault="00BA3BB5" w:rsidP="00511119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511119">
        <w:rPr>
          <w:rFonts w:ascii="Arial" w:hAnsi="Arial" w:cs="Arial"/>
          <w:bCs/>
          <w:color w:val="000000"/>
        </w:rPr>
        <w:t>3 – postelje za palijativnu skrb i dugotrajno liječenje</w:t>
      </w:r>
    </w:p>
    <w:p w14:paraId="29E43E79" w14:textId="709C771F" w:rsidR="00BA3BB5" w:rsidRPr="00511119" w:rsidRDefault="00BA3BB5" w:rsidP="00511119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511119">
        <w:rPr>
          <w:rFonts w:ascii="Arial" w:hAnsi="Arial" w:cs="Arial"/>
          <w:bCs/>
          <w:color w:val="000000"/>
        </w:rPr>
        <w:t xml:space="preserve">35 – stolaca - Dnevna bolnica </w:t>
      </w:r>
    </w:p>
    <w:p w14:paraId="343D7A28" w14:textId="3E6A7C38" w:rsidR="00BA3BB5" w:rsidRPr="00511119" w:rsidRDefault="00BA3BB5" w:rsidP="00511119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511119">
        <w:rPr>
          <w:rFonts w:ascii="Arial" w:hAnsi="Arial" w:cs="Arial"/>
          <w:bCs/>
          <w:color w:val="000000"/>
        </w:rPr>
        <w:t>specijalističku dijagnostiku</w:t>
      </w:r>
    </w:p>
    <w:p w14:paraId="35840DF9" w14:textId="4D5D6EDF" w:rsidR="00BA3BB5" w:rsidRPr="00511119" w:rsidRDefault="00BA3BB5" w:rsidP="00511119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511119">
        <w:rPr>
          <w:rFonts w:ascii="Arial" w:hAnsi="Arial" w:cs="Arial"/>
          <w:bCs/>
          <w:color w:val="000000"/>
        </w:rPr>
        <w:t>specijalističko-konzilijarnu zdravstvenu zaštitu iz djelatnosti psihijatrije, neurologije, interne medicine te fizikalne medicine i rehabilitacije</w:t>
      </w:r>
    </w:p>
    <w:p w14:paraId="2618E133" w14:textId="77777777" w:rsidR="00BA3BB5" w:rsidRPr="00BA3BB5" w:rsidRDefault="00BA3BB5" w:rsidP="00BA3BB5">
      <w:pPr>
        <w:jc w:val="both"/>
        <w:rPr>
          <w:rFonts w:ascii="Arial" w:hAnsi="Arial" w:cs="Arial"/>
          <w:bCs/>
          <w:color w:val="000000"/>
        </w:rPr>
      </w:pPr>
    </w:p>
    <w:p w14:paraId="23842FE8" w14:textId="77777777" w:rsidR="00BA3BB5" w:rsidRPr="00BA3BB5" w:rsidRDefault="00BA3BB5" w:rsidP="00BA3BB5">
      <w:pPr>
        <w:jc w:val="both"/>
        <w:rPr>
          <w:rFonts w:ascii="Arial" w:hAnsi="Arial" w:cs="Arial"/>
          <w:bCs/>
          <w:color w:val="000000"/>
        </w:rPr>
      </w:pPr>
      <w:r w:rsidRPr="00BA3BB5">
        <w:rPr>
          <w:rFonts w:ascii="Arial" w:hAnsi="Arial" w:cs="Arial"/>
          <w:bCs/>
          <w:color w:val="000000"/>
        </w:rPr>
        <w:t>Strateške smjernice razvoja Ustanove temelje se na nekoliko ciljeva:</w:t>
      </w:r>
    </w:p>
    <w:p w14:paraId="212E8A9C" w14:textId="2A51EEE3" w:rsidR="00BA3BB5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 xml:space="preserve">povećanje broja liječnika i specijalista prema standardima SZO i reforme zdravstva RH kao i izobrazbu i usavršavanje medicinskog i ostalog kadra </w:t>
      </w:r>
    </w:p>
    <w:p w14:paraId="11884669" w14:textId="37AF6AE2" w:rsidR="00BA3BB5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>unaprjeđenje kvalitete i kvantitete SKZ zdravstvene zaštite</w:t>
      </w:r>
    </w:p>
    <w:p w14:paraId="3401E56A" w14:textId="1DC8E6BC" w:rsidR="00BA3BB5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>poboljšanje standarda smještaja i liječenja duševnih bolesnika</w:t>
      </w:r>
    </w:p>
    <w:p w14:paraId="47CAE0FC" w14:textId="4A88F725" w:rsidR="00BA3BB5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>povećanje kvalitete rada i promocija ustanove u regiji i šire</w:t>
      </w:r>
    </w:p>
    <w:p w14:paraId="4D25F658" w14:textId="5E6BCE49" w:rsidR="00BA3BB5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>očuvanje postojeće zaposlenosti u Bolnici</w:t>
      </w:r>
    </w:p>
    <w:p w14:paraId="44685CCB" w14:textId="43A57C35" w:rsidR="00BA3BB5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 xml:space="preserve">integriranje svih učinkovitih suvremenih teorijskih i praktičnih pristupa i postupaka liječenja </w:t>
      </w:r>
    </w:p>
    <w:p w14:paraId="72BCB4E1" w14:textId="61B1D888" w:rsidR="00BA3BB5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lastRenderedPageBreak/>
        <w:t>kontinuirano tekuće održavanje objekata i opreme</w:t>
      </w:r>
    </w:p>
    <w:p w14:paraId="203FE8E3" w14:textId="01EB03CF" w:rsidR="00282C69" w:rsidRPr="009C4202" w:rsidRDefault="00BA3BB5" w:rsidP="009C420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Cs/>
          <w:color w:val="000000"/>
        </w:rPr>
      </w:pPr>
      <w:r w:rsidRPr="009C4202">
        <w:rPr>
          <w:rFonts w:ascii="Arial" w:hAnsi="Arial" w:cs="Arial"/>
          <w:bCs/>
          <w:color w:val="000000"/>
        </w:rPr>
        <w:t>daljnje povećanje investicijskog ulaganja.</w:t>
      </w:r>
    </w:p>
    <w:p w14:paraId="22DC162F" w14:textId="77777777" w:rsidR="009C4202" w:rsidRPr="009C4202" w:rsidRDefault="009C4202" w:rsidP="009C4202">
      <w:p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Poslovanje Psihijatrijske bolnice Rab u 2021. godini temeljilo se na:</w:t>
      </w:r>
    </w:p>
    <w:p w14:paraId="704BCD2E" w14:textId="3872B936" w:rsidR="009C4202" w:rsidRPr="009C4202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Ugovoru o provođenju bolničke i specijalističko-konzilijarne zdravstvene zaštite sa HZZO-om Klasa: 500-07/20-01/509 Ur.broj: 338-01-04-01-20-03 od 15. lipnja 2020. godine</w:t>
      </w:r>
    </w:p>
    <w:p w14:paraId="270B6230" w14:textId="7E0D227B" w:rsidR="009C4202" w:rsidRPr="009C4202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Dodatku I Ugovoru o provođenju bolničke i specijalističko-konzilijarne zdravstvene zaštite sa HZZO-om Klasa: 500-07/20-01/509 Ur.broj: 338-01-04-01-21-08 od 08. veljače 2021. godine kojim je definiran maksimalni mjesečni iznos sredstava za siječanj 2021. u iznosu od  3.552.490,16kn a od veljače do lipnja 2021. godine iznos od 3.694.589,77kn mjesečno</w:t>
      </w:r>
    </w:p>
    <w:p w14:paraId="7AC2844E" w14:textId="216ADE14" w:rsidR="009C4202" w:rsidRPr="009C4202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Dodatku II Ugovoru o provođenju bolničke i specijalističko-konzilijarne zdravstvene zaštite sa HZZO-om Klasa: 500-07/20-01/509 Ur.broj: 338-01-04-01-21-23 od 30. rujna 2021. godine kojim se definirani maksimalni mjesečni iznos sredstava u iznosu od  3.694.589,77kn produžuje do prosinca 2021. godine</w:t>
      </w:r>
    </w:p>
    <w:p w14:paraId="135A9F5F" w14:textId="70DCA955" w:rsidR="009C4202" w:rsidRPr="009C4202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Dodatku III Ugovoru o provođenju bolničke i specijalističko-konzilijarne zdravstvene zaštite sa HZZO-om Klasa: 500-07/20-01/509 Ur.broj: 338-01-04-01-21-26 od 27. prosinca 2021. godine kojim se definirani maksimalni mjesečni iznos sredstava u iznosu od  3.694.589,77kn produžuje do prosinca 2022. godine</w:t>
      </w:r>
    </w:p>
    <w:p w14:paraId="16A0BCE1" w14:textId="5D6A6BB7" w:rsidR="009C4202" w:rsidRPr="009C4202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Ugovoru o pružanju usluga prisilnog smještaja i liječenja neubrojivih osoba sa Ministarstvom zdravstva Klasa: 404-01/21-10/05 Ur.broj: 534-04-1-1/2-21-01 od 02. siječnja 2021. Godine</w:t>
      </w:r>
    </w:p>
    <w:p w14:paraId="2F7AD483" w14:textId="6EC63A08" w:rsidR="009C4202" w:rsidRPr="009C4202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Ugovoru o sufinanciranju stanovanja liječnika i ostalog zdravstvenog kadra br. 6/04/2021 sa Primorsko-goranskom županijom Klasa: 402-02/21-02/1 Ur.Broj: 2170/1-04-02/3-21-2 od 18. siječnja 2021. godine</w:t>
      </w:r>
    </w:p>
    <w:p w14:paraId="16377817" w14:textId="505F0B9D" w:rsidR="009C4202" w:rsidRPr="009C4202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Ugovoru o korištenju proračunskih sredstava za decentralizirane funkcije za zdravstvene ustanove za 2021. Godinu br. 39/04/2021 sa Primorsko-goranskom županijom Klasa: 500-03/21-01/8 Ur.Broj: 2170/1-04-02/4-21-5 od 19. ožujka 2021. godine.</w:t>
      </w:r>
    </w:p>
    <w:p w14:paraId="2F040E98" w14:textId="3D3A1970" w:rsidR="00282C69" w:rsidRDefault="009C4202" w:rsidP="009C4202">
      <w:pPr>
        <w:pStyle w:val="Odlomakpopisa"/>
        <w:numPr>
          <w:ilvl w:val="1"/>
          <w:numId w:val="6"/>
        </w:numPr>
        <w:jc w:val="both"/>
        <w:rPr>
          <w:rFonts w:ascii="Arial" w:hAnsi="Arial" w:cs="Arial"/>
        </w:rPr>
      </w:pPr>
      <w:r w:rsidRPr="009C4202">
        <w:rPr>
          <w:rFonts w:ascii="Arial" w:hAnsi="Arial" w:cs="Arial"/>
        </w:rPr>
        <w:t>Dodatku I Ugovoru o korištenju proračunskih sredstava za decentralizirane funkcije za zdravstvene ustanove za 2021. Godinu br. 39/04/2021 sa Primorsko-goranskom županijom Klasa: 500-03/21-01/8 Ur.Broj: 2170/1-04-02/3-21-18 od 12. listopada 2021. godine.</w:t>
      </w:r>
    </w:p>
    <w:p w14:paraId="2CCC882C" w14:textId="45D2DE55" w:rsidR="00326156" w:rsidRPr="00326156" w:rsidRDefault="00326156" w:rsidP="00326156">
      <w:pPr>
        <w:ind w:firstLine="708"/>
        <w:jc w:val="both"/>
        <w:rPr>
          <w:rFonts w:ascii="Arial" w:hAnsi="Arial" w:cs="Arial"/>
        </w:rPr>
      </w:pPr>
      <w:r w:rsidRPr="00326156">
        <w:rPr>
          <w:rFonts w:ascii="Arial" w:hAnsi="Arial" w:cs="Arial"/>
        </w:rPr>
        <w:t>Psihijatrijska bolnica Rab je u obračunskom razdoblju siječanj-</w:t>
      </w:r>
      <w:r>
        <w:rPr>
          <w:rFonts w:ascii="Arial" w:hAnsi="Arial" w:cs="Arial"/>
        </w:rPr>
        <w:t>prosinac</w:t>
      </w:r>
      <w:r w:rsidRPr="00326156">
        <w:rPr>
          <w:rFonts w:ascii="Arial" w:hAnsi="Arial" w:cs="Arial"/>
        </w:rPr>
        <w:t xml:space="preserve"> 2021. godine poslovala stabilno i ostvarila </w:t>
      </w:r>
      <w:r w:rsidR="0031461D">
        <w:rPr>
          <w:rFonts w:ascii="Arial" w:hAnsi="Arial" w:cs="Arial"/>
        </w:rPr>
        <w:t>55.789.011</w:t>
      </w:r>
      <w:r w:rsidR="0031461D" w:rsidRPr="00326156">
        <w:rPr>
          <w:rFonts w:ascii="Arial" w:hAnsi="Arial" w:cs="Arial"/>
        </w:rPr>
        <w:t>kn</w:t>
      </w:r>
      <w:r w:rsidR="0031461D">
        <w:rPr>
          <w:rFonts w:ascii="Arial" w:hAnsi="Arial" w:cs="Arial"/>
        </w:rPr>
        <w:t xml:space="preserve"> </w:t>
      </w:r>
      <w:r w:rsidRPr="00326156">
        <w:rPr>
          <w:rFonts w:ascii="Arial" w:hAnsi="Arial" w:cs="Arial"/>
        </w:rPr>
        <w:t xml:space="preserve">ukupnih prihoda i </w:t>
      </w:r>
      <w:r w:rsidR="0031461D">
        <w:rPr>
          <w:rFonts w:ascii="Arial" w:hAnsi="Arial" w:cs="Arial"/>
        </w:rPr>
        <w:t>54.535.180</w:t>
      </w:r>
      <w:r w:rsidR="0031461D" w:rsidRPr="00326156">
        <w:rPr>
          <w:rFonts w:ascii="Arial" w:hAnsi="Arial" w:cs="Arial"/>
        </w:rPr>
        <w:t>kn</w:t>
      </w:r>
      <w:r w:rsidRPr="00326156">
        <w:rPr>
          <w:rFonts w:ascii="Arial" w:hAnsi="Arial" w:cs="Arial"/>
        </w:rPr>
        <w:t xml:space="preserve"> ukupnih izdataka što je rezultiralo viškom prihoda nad izdacima u iznosu od </w:t>
      </w:r>
      <w:r w:rsidR="005B13BE" w:rsidRPr="005B13BE">
        <w:rPr>
          <w:rFonts w:ascii="Arial" w:hAnsi="Arial" w:cs="Arial"/>
        </w:rPr>
        <w:t>1.253.831</w:t>
      </w:r>
      <w:r w:rsidRPr="00326156">
        <w:rPr>
          <w:rFonts w:ascii="Arial" w:hAnsi="Arial" w:cs="Arial"/>
        </w:rPr>
        <w:t>kn</w:t>
      </w:r>
      <w:r w:rsidR="0031461D">
        <w:rPr>
          <w:rFonts w:ascii="Arial" w:hAnsi="Arial" w:cs="Arial"/>
        </w:rPr>
        <w:t xml:space="preserve"> iz čega proizlazi  višak prihoda i primitaka raspoloživ u sljedećem razdoblju u iznosu od  4.473.409kn.</w:t>
      </w:r>
      <w:r w:rsidRPr="00326156">
        <w:rPr>
          <w:rFonts w:ascii="Arial" w:hAnsi="Arial" w:cs="Arial"/>
        </w:rPr>
        <w:t xml:space="preserve"> Sva prava prema djelatnicima su uredno ispoštovana, obveze prema dobavljačima su podmirene u propisanim rokovima a ističemo da na zadnji dan izvještajnog razdoblja ova ustanova nije imala dospjelih obveza prema dobavljačima lijekova.</w:t>
      </w:r>
    </w:p>
    <w:p w14:paraId="78EEB02E" w14:textId="2D4A57B3" w:rsidR="00326156" w:rsidRDefault="00326156" w:rsidP="0031461D">
      <w:pPr>
        <w:ind w:firstLine="708"/>
        <w:jc w:val="both"/>
        <w:rPr>
          <w:rFonts w:ascii="Arial" w:hAnsi="Arial" w:cs="Arial"/>
        </w:rPr>
      </w:pPr>
      <w:r w:rsidRPr="00326156">
        <w:rPr>
          <w:rFonts w:ascii="Arial" w:hAnsi="Arial" w:cs="Arial"/>
        </w:rPr>
        <w:t xml:space="preserve">Ovo izvještajno razdoblje je obilježila krizna situacija vezana uz epidemiju </w:t>
      </w:r>
      <w:proofErr w:type="spellStart"/>
      <w:r w:rsidRPr="00326156">
        <w:rPr>
          <w:rFonts w:ascii="Arial" w:hAnsi="Arial" w:cs="Arial"/>
        </w:rPr>
        <w:t>koronavirusa</w:t>
      </w:r>
      <w:proofErr w:type="spellEnd"/>
      <w:r w:rsidRPr="00326156">
        <w:rPr>
          <w:rFonts w:ascii="Arial" w:hAnsi="Arial" w:cs="Arial"/>
        </w:rPr>
        <w:t xml:space="preserve"> te je maksimalnim angažmanom djelatnika i u ovom kriznom periodu ova zdravstvena ustanova prilagodila svoje poslovanje krizi koja je i dalje u tijeku.</w:t>
      </w:r>
    </w:p>
    <w:p w14:paraId="181327E0" w14:textId="789D17C8" w:rsidR="005B13BE" w:rsidRDefault="005B13BE" w:rsidP="00326156">
      <w:pPr>
        <w:jc w:val="both"/>
        <w:rPr>
          <w:rFonts w:ascii="Arial" w:hAnsi="Arial" w:cs="Arial"/>
        </w:rPr>
      </w:pPr>
    </w:p>
    <w:p w14:paraId="3DA64F5D" w14:textId="303F786E" w:rsidR="00511119" w:rsidRDefault="00511119" w:rsidP="00326156">
      <w:pPr>
        <w:jc w:val="both"/>
        <w:rPr>
          <w:rFonts w:ascii="Arial" w:hAnsi="Arial" w:cs="Arial"/>
        </w:rPr>
      </w:pPr>
    </w:p>
    <w:p w14:paraId="0DFBDF0B" w14:textId="77777777" w:rsidR="00511119" w:rsidRDefault="00511119" w:rsidP="00326156">
      <w:pPr>
        <w:jc w:val="both"/>
        <w:rPr>
          <w:rFonts w:ascii="Arial" w:hAnsi="Arial" w:cs="Arial"/>
        </w:rPr>
      </w:pPr>
    </w:p>
    <w:p w14:paraId="3AC8EC0F" w14:textId="420AAFB8" w:rsidR="0040218C" w:rsidRPr="00F5300E" w:rsidRDefault="00D84BD4" w:rsidP="00D84BD4">
      <w:pPr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lastRenderedPageBreak/>
        <w:t>IZVJEŠTAJ O PRIHODIMA I RASHODIMA, PRIMICIMA I IZDACIMA</w:t>
      </w:r>
    </w:p>
    <w:p w14:paraId="663259E1" w14:textId="580D4246" w:rsidR="004D6CE4" w:rsidRPr="007B6D18" w:rsidRDefault="004D6CE4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7"/>
        <w:gridCol w:w="4873"/>
        <w:gridCol w:w="772"/>
        <w:gridCol w:w="1263"/>
        <w:gridCol w:w="1263"/>
        <w:gridCol w:w="742"/>
      </w:tblGrid>
      <w:tr w:rsidR="008F3537" w:rsidRPr="007B6D18" w14:paraId="16F2F2ED" w14:textId="77777777" w:rsidTr="002F0EB5">
        <w:trPr>
          <w:trHeight w:val="780"/>
        </w:trPr>
        <w:tc>
          <w:tcPr>
            <w:tcW w:w="372" w:type="pc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7AEC7D9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Račun iz </w:t>
            </w:r>
            <w:proofErr w:type="spellStart"/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</w:t>
            </w:r>
            <w:proofErr w:type="spellEnd"/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plana</w:t>
            </w:r>
          </w:p>
        </w:tc>
        <w:tc>
          <w:tcPr>
            <w:tcW w:w="2530" w:type="pct"/>
            <w:tcBorders>
              <w:top w:val="dotted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5D9AE7E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stavke</w:t>
            </w:r>
          </w:p>
        </w:tc>
        <w:tc>
          <w:tcPr>
            <w:tcW w:w="401" w:type="pct"/>
            <w:tcBorders>
              <w:top w:val="dotted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1ABEEE2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656" w:type="pct"/>
            <w:tcBorders>
              <w:top w:val="dotted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29C3C76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 xml:space="preserve">Ostvareno u izvještajnom razdoblju </w:t>
            </w:r>
            <w:proofErr w:type="spellStart"/>
            <w:r w:rsidRPr="007B6D1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preth</w:t>
            </w:r>
            <w:proofErr w:type="spellEnd"/>
            <w:r w:rsidRPr="007B6D1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. godine</w:t>
            </w:r>
          </w:p>
        </w:tc>
        <w:tc>
          <w:tcPr>
            <w:tcW w:w="656" w:type="pct"/>
            <w:tcBorders>
              <w:top w:val="dotted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56C4B35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 xml:space="preserve">Ostvareno u izvještajnom razdoblju </w:t>
            </w:r>
            <w:r w:rsidRPr="007B6D1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br/>
              <w:t>tekuće godine</w:t>
            </w:r>
          </w:p>
        </w:tc>
        <w:tc>
          <w:tcPr>
            <w:tcW w:w="385" w:type="pct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53203DE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</w:tr>
      <w:tr w:rsidR="008F3537" w:rsidRPr="007B6D18" w14:paraId="10E4299C" w14:textId="77777777" w:rsidTr="00DA4345"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015E303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156B5CD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52D618F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7A88DE8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6FCD25D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C31E327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</w:t>
            </w:r>
          </w:p>
        </w:tc>
      </w:tr>
      <w:tr w:rsidR="000221F1" w:rsidRPr="007B6D18" w14:paraId="721CAAAC" w14:textId="77777777" w:rsidTr="00DA4345">
        <w:trPr>
          <w:trHeight w:val="300"/>
        </w:trPr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1D025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Prihodi i rashodi poslovanja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0889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B41A4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60524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417B1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</w:tr>
      <w:tr w:rsidR="000221F1" w:rsidRPr="007B6D18" w14:paraId="136E9A4F" w14:textId="77777777" w:rsidTr="00DA4345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FF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D1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POSLOVANJA (AOP 002+039+045+077+101+119+128+134) </w:t>
            </w:r>
          </w:p>
        </w:tc>
        <w:tc>
          <w:tcPr>
            <w:tcW w:w="4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E7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AB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56.071.160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514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55.787.418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F9B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99,5</w:t>
            </w:r>
          </w:p>
        </w:tc>
      </w:tr>
      <w:tr w:rsidR="000221F1" w:rsidRPr="007B6D18" w14:paraId="4C8F3E71" w14:textId="77777777" w:rsidTr="00DA4345">
        <w:trPr>
          <w:trHeight w:val="4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96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1E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iz inozemstva i od subjekata unutar općeg proračuna (AOP 046+049+054+057+ 060+063+066+069+072)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F6E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2A1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3.037.905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44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3.489.426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B9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114,9</w:t>
            </w:r>
          </w:p>
        </w:tc>
      </w:tr>
      <w:tr w:rsidR="000221F1" w:rsidRPr="007B6D18" w14:paraId="5C2A91CE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B8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10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od izvanproračunskih korisnika (AOP 058+059)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1605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96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1B0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168.061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FF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221F1" w:rsidRPr="007B6D18" w14:paraId="4A8452F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33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C9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izvanproračunskih korisnika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3A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CFF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433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168.061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855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B10EA" w:rsidRPr="007B6D18" w14:paraId="519F3902" w14:textId="77777777" w:rsidTr="00282C69">
        <w:trPr>
          <w:trHeight w:val="57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CF2EAB" w14:textId="77777777" w:rsidR="00FB10EA" w:rsidRPr="007B6D18" w:rsidRDefault="00FB10EA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C1504" w14:textId="783F6066" w:rsidR="00FB10EA" w:rsidRPr="007B6D18" w:rsidRDefault="00FB10EA" w:rsidP="00FB1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AOP058 </w:t>
            </w:r>
            <w:r w:rsidR="007B6E3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B6E3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se odnose na pomoći HZZZ-a za financiranje plaća i doprinosa pripravnika</w:t>
            </w:r>
          </w:p>
        </w:tc>
      </w:tr>
      <w:tr w:rsidR="000221F1" w:rsidRPr="007B6D18" w14:paraId="2819741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5D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D6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Pomoći proračunskim korisnicima iz proračuna koji im nije nadležan (AOP 064+065)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22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CB7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3.037.905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FE3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3.137.994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DB7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103,3</w:t>
            </w:r>
          </w:p>
        </w:tc>
      </w:tr>
      <w:tr w:rsidR="000221F1" w:rsidRPr="007B6D18" w14:paraId="31CA91B7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66D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9C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F5E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FE7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3.037.905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1C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3.137.994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7C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103,3</w:t>
            </w:r>
          </w:p>
        </w:tc>
      </w:tr>
      <w:tr w:rsidR="00FB10EA" w:rsidRPr="007B6D18" w14:paraId="1F9C7713" w14:textId="77777777" w:rsidTr="007A48FF">
        <w:trPr>
          <w:trHeight w:val="5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86FEFD9" w14:textId="77777777" w:rsidR="00FB10EA" w:rsidRPr="007B6D18" w:rsidRDefault="00FB10EA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7FDB1" w14:textId="31C44B25" w:rsidR="00FB10EA" w:rsidRPr="007B6D18" w:rsidRDefault="007B6E32" w:rsidP="007B6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AOP064 – </w:t>
            </w:r>
            <w:r w:rsidR="004579D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Ostvareni 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</w:t>
            </w:r>
            <w:r w:rsidR="004579D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 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</w:t>
            </w:r>
            <w:r w:rsidR="004579D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3,3% ili 100.089kn viš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4579D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nego prethodne godine 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odnose 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se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pomoći Ministarstva zdrav</w:t>
            </w:r>
            <w:r w:rsidR="00BC305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stva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smještaj i prehranu forenzičkih bolesnika </w:t>
            </w:r>
            <w:r w:rsidR="000F35FA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prema ugovoru.. </w:t>
            </w:r>
          </w:p>
        </w:tc>
      </w:tr>
      <w:tr w:rsidR="000221F1" w:rsidRPr="007B6D18" w14:paraId="3C5D98B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3A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F40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temeljem prijenosa  EU sredstava (AOP 070+071)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87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40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19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183.371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26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221F1" w:rsidRPr="007B6D18" w14:paraId="3E415732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7A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A26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temeljem prijenosa  EU sredstava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5F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0F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1A3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183.371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61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F35FA" w:rsidRPr="007B6D18" w14:paraId="55768ECB" w14:textId="77777777" w:rsidTr="007A48FF">
        <w:trPr>
          <w:trHeight w:val="59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E35F55D" w14:textId="77777777" w:rsidR="000F35FA" w:rsidRPr="007B6D18" w:rsidRDefault="000F35FA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225729" w14:textId="64FBF8F7" w:rsidR="000F35FA" w:rsidRPr="007B6D18" w:rsidRDefault="000F35FA" w:rsidP="000F3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AOP070 – Prihodi se odnose na pomoći HZZZ-a za financiranje plaća i doprinosa pripravnika</w:t>
            </w:r>
          </w:p>
        </w:tc>
      </w:tr>
      <w:tr w:rsidR="000221F1" w:rsidRPr="007B6D18" w14:paraId="6EDD755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98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52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imovine (AOP 078+086+093)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B9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1CB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6.583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BF5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4.634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69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70,4</w:t>
            </w:r>
          </w:p>
        </w:tc>
      </w:tr>
      <w:tr w:rsidR="000221F1" w:rsidRPr="007B6D18" w14:paraId="7B22D08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C5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ED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financijske imovine (AOP 079 do 085)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9F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BF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6.583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42B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4.634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341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70,4</w:t>
            </w:r>
          </w:p>
        </w:tc>
      </w:tr>
      <w:tr w:rsidR="000221F1" w:rsidRPr="007B6D18" w14:paraId="52A9489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A9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5C1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70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7AE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E1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E61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70,4</w:t>
            </w:r>
          </w:p>
        </w:tc>
      </w:tr>
      <w:tr w:rsidR="000F35FA" w:rsidRPr="007B6D18" w14:paraId="28AFC08C" w14:textId="77777777" w:rsidTr="007A48FF">
        <w:trPr>
          <w:trHeight w:val="65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C20A84" w14:textId="77777777" w:rsidR="000F35FA" w:rsidRPr="007B6D18" w:rsidRDefault="000F35FA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1EEE7B" w14:textId="5283937F" w:rsidR="000F35FA" w:rsidRPr="007B6D18" w:rsidRDefault="000F35FA" w:rsidP="000F3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AOP080 </w:t>
            </w:r>
            <w:r w:rsidR="00101BF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101BF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ostvareni </w:t>
            </w:r>
            <w:r w:rsidR="00C3592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kamata </w:t>
            </w:r>
            <w:r w:rsidR="00101BF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 29,6% niži temeljem nepovoljnijih kamatnih stopa na tržištu te prosječno nižeg stanja na poslovnom računu</w:t>
            </w:r>
          </w:p>
        </w:tc>
      </w:tr>
      <w:tr w:rsidR="000221F1" w:rsidRPr="007B6D18" w14:paraId="63E314F1" w14:textId="77777777" w:rsidTr="00DA4345">
        <w:trPr>
          <w:trHeight w:val="4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E7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7D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prodaje proizvoda i robe te pruženih usluga, </w:t>
            </w:r>
            <w:r w:rsidRPr="007B6D18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i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prihodi od donacija te povrati po protestiranim jamstvima </w:t>
            </w: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120+123)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D1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31B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1.138.199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25A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3.340.797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1CC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293,5</w:t>
            </w:r>
          </w:p>
        </w:tc>
      </w:tr>
      <w:tr w:rsidR="000221F1" w:rsidRPr="007B6D18" w14:paraId="6C5D997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2E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D46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 te pruženih usluga (AOP 121+122)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40E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43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308.861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15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1.416.031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30F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458,5</w:t>
            </w:r>
          </w:p>
        </w:tc>
      </w:tr>
      <w:tr w:rsidR="000221F1" w:rsidRPr="007B6D18" w14:paraId="328231E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385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0C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13A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63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308.861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BE9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1.416.031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78E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458,5</w:t>
            </w:r>
          </w:p>
        </w:tc>
      </w:tr>
      <w:tr w:rsidR="00101BF4" w:rsidRPr="007B6D18" w14:paraId="09834BA7" w14:textId="77777777" w:rsidTr="007A48FF">
        <w:trPr>
          <w:trHeight w:val="68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B756AD" w14:textId="77777777" w:rsidR="00101BF4" w:rsidRPr="007B6D18" w:rsidRDefault="00101BF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C7CFA" w14:textId="334FCB12" w:rsidR="00101BF4" w:rsidRPr="007B6D18" w:rsidRDefault="00101BF4" w:rsidP="00101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AOP122 –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</w:t>
            </w:r>
            <w:r w:rsidR="00C3592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stvareni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rihodi od pruženih usluga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viši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 358,5% u odnosu na isto razdoblje prošle godine a najvećim dijelom se odnose na prihode od pružanja usluga testiranja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covid19</w:t>
            </w:r>
          </w:p>
        </w:tc>
      </w:tr>
      <w:tr w:rsidR="000221F1" w:rsidRPr="007B6D18" w14:paraId="127ACC94" w14:textId="77777777" w:rsidTr="00DA4345">
        <w:trPr>
          <w:trHeight w:val="4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26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ED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Donacije od pravnih i fizičkih osoba izvan općeg proračuna i povrat donacija po protestiranim jamstvima (AOP 124 do 127)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B81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ED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829.338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95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1.924.766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883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232,1</w:t>
            </w:r>
          </w:p>
        </w:tc>
      </w:tr>
      <w:tr w:rsidR="000221F1" w:rsidRPr="007B6D18" w14:paraId="0A484723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0EA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73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1F31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CD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788.063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DE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1.882.566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1B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238,9</w:t>
            </w:r>
          </w:p>
        </w:tc>
      </w:tr>
      <w:tr w:rsidR="00CB1279" w:rsidRPr="007B6D18" w14:paraId="4DF22DF0" w14:textId="77777777" w:rsidTr="007A48FF">
        <w:trPr>
          <w:trHeight w:val="70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B116BD9" w14:textId="77777777" w:rsidR="00CB1279" w:rsidRPr="007B6D18" w:rsidRDefault="00CB1279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864AD9" w14:textId="2FA98397" w:rsidR="00CB1279" w:rsidRPr="007B6D18" w:rsidRDefault="00CB1279" w:rsidP="00CB1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AOP124 –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Ostvareni p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rihodi od tekućih donacija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viši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 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138,9% a odnose se na zaprimljene donacije lijekova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prvom redu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antipsihotika.</w:t>
            </w:r>
          </w:p>
        </w:tc>
      </w:tr>
      <w:tr w:rsidR="000221F1" w:rsidRPr="007B6D18" w14:paraId="22D1C2E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CD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380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i od HZZO-a na temelju ugovornih obveza (AOP 129+133)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61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1A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50.696.229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FF7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47.814.577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C44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</w:t>
            </w:r>
          </w:p>
        </w:tc>
      </w:tr>
      <w:tr w:rsidR="000221F1" w:rsidRPr="007B6D18" w14:paraId="2CA608C4" w14:textId="77777777" w:rsidTr="00DA4345">
        <w:trPr>
          <w:trHeight w:val="4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AE0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60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redovne djelatnosti proračunskih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korisnika (AOP 130 do 132)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B0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D2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7.791.504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66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2.880.787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641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</w:t>
            </w:r>
          </w:p>
        </w:tc>
      </w:tr>
      <w:tr w:rsidR="000221F1" w:rsidRPr="007B6D18" w14:paraId="7AB5C8F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155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8D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6B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58E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300.646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BE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658.389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7B3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219,0</w:t>
            </w:r>
          </w:p>
        </w:tc>
      </w:tr>
      <w:tr w:rsidR="00CB1279" w:rsidRPr="007B6D18" w14:paraId="23F9ACDD" w14:textId="77777777" w:rsidTr="00C35923">
        <w:trPr>
          <w:trHeight w:val="55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04AC9A" w14:textId="77777777" w:rsidR="00CB1279" w:rsidRPr="007B6D18" w:rsidRDefault="00CB1279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9B80736" w14:textId="7C984755" w:rsidR="00CB1279" w:rsidRPr="007B6D18" w:rsidRDefault="00CB1279" w:rsidP="00CB1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AOP130 - Prihodi iz nadležnog proračuna za financiranje rashoda poslovanja odnose se na prihode iz proračuna PGŽ za </w:t>
            </w:r>
            <w:r w:rsidR="002B0390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djelomično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financiranje stanovanja liječnika specijalista i ostalog deficitarnog kadra,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računalnih usluga (</w:t>
            </w:r>
            <w:r w:rsidR="002B0390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poslovnog i bolničkog informacijskog sustava) i tekućeg održavanja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B0390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građevinskih objekata i opreme</w:t>
            </w:r>
          </w:p>
        </w:tc>
      </w:tr>
      <w:tr w:rsidR="000221F1" w:rsidRPr="007B6D18" w14:paraId="0AA148F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E1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6712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4C5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E7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ABC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7.490.858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66C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2.222.398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B63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29,7</w:t>
            </w:r>
          </w:p>
        </w:tc>
      </w:tr>
      <w:tr w:rsidR="00FC3DF8" w:rsidRPr="007B6D18" w14:paraId="77C5FA0A" w14:textId="77777777" w:rsidTr="002F0EB5">
        <w:trPr>
          <w:trHeight w:val="1006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B09A01" w14:textId="77777777" w:rsidR="00FC3DF8" w:rsidRPr="007B6D18" w:rsidRDefault="00FC3DF8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2F979E4" w14:textId="6A454F4E" w:rsidR="00FC3DF8" w:rsidRPr="007B6D18" w:rsidRDefault="00222230" w:rsidP="00FC3D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AOP131 - Prihodi iz nadležnog proračuna za financiranje rashoda za nabavu nefinancijske imovine odnose se na prihode za decentralizirane funkcije iz kojeg je izvora u 2021. godini financiran nastavak projekta obnove bolničkih paviljona izgradnjom suhe tople veze za funkcionalno povezivanje paviljona A i B</w:t>
            </w:r>
            <w:r w:rsidR="00B8236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 nekoliko manjih ulaganja u </w:t>
            </w:r>
            <w:r w:rsidR="00FE632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raznu </w:t>
            </w:r>
            <w:r w:rsidR="00B8236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opremu.</w:t>
            </w:r>
          </w:p>
        </w:tc>
      </w:tr>
      <w:tr w:rsidR="000221F1" w:rsidRPr="007B6D18" w14:paraId="40E96E6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06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4D0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HZZO-a na temelju ugovornih obveza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88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ED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42.904.725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9F6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44.933.790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4F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104,7</w:t>
            </w:r>
          </w:p>
        </w:tc>
      </w:tr>
      <w:tr w:rsidR="00FE6324" w:rsidRPr="007B6D18" w14:paraId="56EA30F0" w14:textId="77777777" w:rsidTr="004579DE">
        <w:trPr>
          <w:trHeight w:val="104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CB2AD0B" w14:textId="77777777" w:rsidR="00FE6324" w:rsidRPr="007B6D18" w:rsidRDefault="00FE632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A15942" w14:textId="07607921" w:rsidR="00FE6324" w:rsidRPr="007B6D18" w:rsidRDefault="00FE6324" w:rsidP="00FE6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AOP133 – 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Ostvareni p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rihodi od HZZO-a na temelju ugovornih obveza su za 4,7% ili 2.029.065kn</w:t>
            </w:r>
            <w:r w:rsidR="0043072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viši u odnosu na prošlu godinu a odgovaraju uvećanju ugovorenog mjesečnog limita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koji slijedi 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Dodatak II </w:t>
            </w:r>
            <w:r w:rsidR="00725FEA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Temeljnom kolektivnom ugovoru za službenike i namještenike u javnim službama NN 66/2020 </w:t>
            </w:r>
            <w:r w:rsidR="004579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odnosno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uvećanje osnovice za obračun plaća zaposlenika</w:t>
            </w:r>
          </w:p>
        </w:tc>
      </w:tr>
      <w:tr w:rsidR="000221F1" w:rsidRPr="007B6D18" w14:paraId="353C2AF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89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14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Kazne, upravne mjere i ostali prihodi (AOP 135+145)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55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F7D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11.360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54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417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26,7</w:t>
            </w:r>
          </w:p>
        </w:tc>
      </w:tr>
      <w:tr w:rsidR="000221F1" w:rsidRPr="007B6D18" w14:paraId="5CA35B43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76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B1C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FB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81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3A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67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26,7</w:t>
            </w:r>
          </w:p>
        </w:tc>
      </w:tr>
      <w:tr w:rsidR="00430726" w:rsidRPr="007B6D18" w14:paraId="32AD1B1A" w14:textId="77777777" w:rsidTr="007A48FF">
        <w:trPr>
          <w:trHeight w:val="6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609FFFB" w14:textId="77777777" w:rsidR="00430726" w:rsidRPr="007B6D18" w:rsidRDefault="00430726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2A4BDD" w14:textId="3B94B25E" w:rsidR="00430726" w:rsidRPr="007B6D18" w:rsidRDefault="00430726" w:rsidP="004307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AOP145 – Ostali prihodi ostvareni su 73,3% niži a navedeni iznos 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se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odnosi na inventurne razlike</w:t>
            </w:r>
            <w:r w:rsidR="00C359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Naturalno se radi o ukupnom iznosu od 3.038kn</w:t>
            </w:r>
          </w:p>
        </w:tc>
      </w:tr>
      <w:tr w:rsidR="000221F1" w:rsidRPr="007B6D18" w14:paraId="20CD91EB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104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B3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 (AOP 147+158+191+210+219+247+258)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F9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12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45.826.760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CB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50.823.224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2B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110,9</w:t>
            </w:r>
          </w:p>
        </w:tc>
      </w:tr>
      <w:tr w:rsidR="000221F1" w:rsidRPr="007B6D18" w14:paraId="7A4E5B8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AEA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A3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 (AOP 148+153+154)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BA0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F87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33.397.722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560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36.738.272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587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</w:t>
            </w:r>
          </w:p>
        </w:tc>
      </w:tr>
      <w:tr w:rsidR="000221F1" w:rsidRPr="007B6D18" w14:paraId="48B4908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1A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22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(bruto) (AOP 149 do 152)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5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88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27.730.504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E8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30.521.720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79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110,1</w:t>
            </w:r>
          </w:p>
        </w:tc>
      </w:tr>
      <w:tr w:rsidR="000221F1" w:rsidRPr="007B6D18" w14:paraId="0175F927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F7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5D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38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FC0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26.555.399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413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29.149.924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1A0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109,8</w:t>
            </w:r>
          </w:p>
        </w:tc>
      </w:tr>
      <w:tr w:rsidR="00750315" w:rsidRPr="007B6D18" w14:paraId="3BC7FE5F" w14:textId="77777777" w:rsidTr="007A48FF">
        <w:trPr>
          <w:trHeight w:val="95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AF60FCF" w14:textId="77777777" w:rsidR="00750315" w:rsidRPr="007B6D18" w:rsidRDefault="0075031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3CC7C0" w14:textId="7DD43151" w:rsidR="00750315" w:rsidRPr="007B6D18" w:rsidRDefault="00D95414" w:rsidP="007503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AOP149 – N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 temelju Dodatka II. Temeljnom kolektivnom ugovoru za službenike i namještenike u javnim službama NN 66/2020 osnovica za izračun plaća službenika i namještenika u javnim službama povećana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je 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 5.809,79kn na 6.044,51kn od 01.01.2021.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godine. </w:t>
            </w:r>
            <w:r w:rsidR="009251C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Višom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osnovic</w:t>
            </w:r>
            <w:r w:rsidR="009251C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om za izračun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9251C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povećanjem broja djelatnika te promjenama u strukturi zaposlenih </w:t>
            </w:r>
            <w:r w:rsidR="00FE1069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 povećan</w:t>
            </w:r>
            <w:r w:rsidR="00FE1069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FE1069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9,8%.</w:t>
            </w:r>
          </w:p>
        </w:tc>
      </w:tr>
      <w:tr w:rsidR="000221F1" w:rsidRPr="007B6D18" w14:paraId="50AD46E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4B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5B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13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27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1.175.105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3B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1.335.910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0CF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113,7</w:t>
            </w:r>
          </w:p>
        </w:tc>
      </w:tr>
      <w:tr w:rsidR="00750315" w:rsidRPr="007B6D18" w14:paraId="3627417C" w14:textId="77777777" w:rsidTr="004579DE">
        <w:trPr>
          <w:trHeight w:val="101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41F1C9" w14:textId="77777777" w:rsidR="00750315" w:rsidRPr="007B6D18" w:rsidRDefault="0075031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C7FC4E" w14:textId="39F04F74" w:rsidR="00750315" w:rsidRPr="007B6D18" w:rsidRDefault="009A14A2" w:rsidP="007503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AOP151 – 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Obzirom na opće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poznatu problematiku nedostatka medicinskog osoblja na tržištu rada 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dalje 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izostanak djelatnika u redovnom radu zbog obolijevanja, izolacija i samoizolacija radi nesmetanog odvijanja radnih procesa 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organizacija rada opterećena 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je 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prekovremenim satima. Dodatkom III. Kolektivnog ugovora za zdravstvo skuplji je obračun prekovremenog sata. Navedena problematika rezultira većim izdacima za prekovremeni rad za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13,7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 u odnosu na prošl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godin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75031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0221F1" w:rsidRPr="007B6D18" w14:paraId="33AA127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EA9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6A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posebne uvjete rada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AB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0B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33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35.886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133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9A14A2" w:rsidRPr="007B6D18" w14:paraId="1FBD5487" w14:textId="77777777" w:rsidTr="007A48FF">
        <w:trPr>
          <w:trHeight w:val="8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9EC66B0" w14:textId="77777777" w:rsidR="009A14A2" w:rsidRPr="007B6D18" w:rsidRDefault="009A14A2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0B11FA" w14:textId="658F6418" w:rsidR="009A14A2" w:rsidRPr="007B6D18" w:rsidRDefault="00E168B2" w:rsidP="009A1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AOP152 – Plaće za posebne uvjete rada odnos</w:t>
            </w:r>
            <w:r w:rsidR="00C773F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se na posebne nagrade radnicima temeljem Odluke o posebnoj nagradi radnicima u sustavu zdravstva koji obavljaju poslove vezane za pružanje zdravstvene skrbi pacijentima oboljelima od COVID-19 (NN136/20).</w:t>
            </w:r>
          </w:p>
        </w:tc>
      </w:tr>
      <w:tr w:rsidR="000221F1" w:rsidRPr="007B6D18" w14:paraId="702E3CA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E1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091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AD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40F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1.651.348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4EA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1.791.910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72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108,5</w:t>
            </w:r>
          </w:p>
        </w:tc>
      </w:tr>
      <w:tr w:rsidR="00E168B2" w:rsidRPr="007B6D18" w14:paraId="2CB82321" w14:textId="77777777" w:rsidTr="007A48FF">
        <w:trPr>
          <w:trHeight w:val="59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B27AC6E" w14:textId="77777777" w:rsidR="00E168B2" w:rsidRPr="007B6D18" w:rsidRDefault="00E168B2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DA66FF" w14:textId="77777777" w:rsidR="00F34114" w:rsidRPr="007B6D18" w:rsidRDefault="00F34114" w:rsidP="00E16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6B58813" w14:textId="121C7C54" w:rsidR="00E168B2" w:rsidRPr="007B6D18" w:rsidRDefault="00FE1069" w:rsidP="00E16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AOP153 – Ostali rashodi za zaposlene specificirani su u tablici:</w:t>
            </w:r>
          </w:p>
          <w:tbl>
            <w:tblPr>
              <w:tblStyle w:val="Tamnatablicareetke5-isticanje4"/>
              <w:tblW w:w="4223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3117"/>
              <w:gridCol w:w="992"/>
              <w:gridCol w:w="709"/>
              <w:gridCol w:w="1073"/>
              <w:gridCol w:w="770"/>
            </w:tblGrid>
            <w:tr w:rsidR="002F0EB5" w:rsidRPr="007B6D18" w14:paraId="2C990B31" w14:textId="77777777" w:rsidTr="002F0E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vAlign w:val="center"/>
                  <w:hideMark/>
                </w:tcPr>
                <w:p w14:paraId="1AEB5E2B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Red. br.</w:t>
                  </w:r>
                </w:p>
              </w:tc>
              <w:tc>
                <w:tcPr>
                  <w:tcW w:w="2124" w:type="pct"/>
                  <w:vAlign w:val="center"/>
                  <w:hideMark/>
                </w:tcPr>
                <w:p w14:paraId="52885656" w14:textId="77777777" w:rsidR="009265E3" w:rsidRPr="007B6D18" w:rsidRDefault="009265E3" w:rsidP="009265E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O p i s 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5364FC5B" w14:textId="77777777" w:rsidR="009265E3" w:rsidRPr="007B6D18" w:rsidRDefault="009265E3" w:rsidP="009265E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I-XII 2020.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14:paraId="6432041A" w14:textId="77777777" w:rsidR="009265E3" w:rsidRPr="007B6D18" w:rsidRDefault="009265E3" w:rsidP="009265E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Udio</w:t>
                  </w:r>
                </w:p>
              </w:tc>
              <w:tc>
                <w:tcPr>
                  <w:tcW w:w="731" w:type="pct"/>
                  <w:vAlign w:val="center"/>
                  <w:hideMark/>
                </w:tcPr>
                <w:p w14:paraId="6DD43980" w14:textId="77777777" w:rsidR="009265E3" w:rsidRPr="007B6D18" w:rsidRDefault="009265E3" w:rsidP="009265E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I-XII 2021.</w:t>
                  </w:r>
                </w:p>
              </w:tc>
              <w:tc>
                <w:tcPr>
                  <w:tcW w:w="525" w:type="pct"/>
                  <w:vAlign w:val="center"/>
                  <w:hideMark/>
                </w:tcPr>
                <w:p w14:paraId="01AEDE76" w14:textId="77777777" w:rsidR="009265E3" w:rsidRPr="007B6D18" w:rsidRDefault="009265E3" w:rsidP="009265E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Udio</w:t>
                  </w:r>
                </w:p>
              </w:tc>
            </w:tr>
            <w:tr w:rsidR="002F0EB5" w:rsidRPr="007B6D18" w14:paraId="7706EBFA" w14:textId="77777777" w:rsidTr="002F0E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064F24BB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2540E0D1" w14:textId="77777777" w:rsidR="009265E3" w:rsidRPr="007B6D18" w:rsidRDefault="009265E3" w:rsidP="009265E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44FD8552" w14:textId="77777777" w:rsidR="009265E3" w:rsidRPr="007B6D18" w:rsidRDefault="009265E3" w:rsidP="009265E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4CF07AFF" w14:textId="77777777" w:rsidR="009265E3" w:rsidRPr="007B6D18" w:rsidRDefault="009265E3" w:rsidP="009265E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40AB6B2B" w14:textId="77777777" w:rsidR="009265E3" w:rsidRPr="007B6D18" w:rsidRDefault="009265E3" w:rsidP="009265E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0B3B24FE" w14:textId="77777777" w:rsidR="009265E3" w:rsidRPr="007B6D18" w:rsidRDefault="009265E3" w:rsidP="009265E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</w:tr>
            <w:tr w:rsidR="002F0EB5" w:rsidRPr="007B6D18" w14:paraId="049C8166" w14:textId="77777777" w:rsidTr="002F0EB5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5F97CF81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5E00611A" w14:textId="77777777" w:rsidR="009265E3" w:rsidRPr="007B6D18" w:rsidRDefault="009265E3" w:rsidP="00926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Božićnice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4F9A0919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371.042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635BD813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22,5%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557D427E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390.000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416CC3B3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21,8%</w:t>
                  </w:r>
                </w:p>
              </w:tc>
            </w:tr>
            <w:tr w:rsidR="002F0EB5" w:rsidRPr="007B6D18" w14:paraId="523372AB" w14:textId="77777777" w:rsidTr="002F0E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031CD198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03A155CA" w14:textId="77777777" w:rsidR="009265E3" w:rsidRPr="007B6D18" w:rsidRDefault="009265E3" w:rsidP="009265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Regres za godišnji odmor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5F64E83F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359.250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3D2E9CC2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21,8%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40408DE7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370.500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07909F14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20,7%</w:t>
                  </w:r>
                </w:p>
              </w:tc>
            </w:tr>
            <w:tr w:rsidR="002F0EB5" w:rsidRPr="007B6D18" w14:paraId="40FBC625" w14:textId="77777777" w:rsidTr="002F0EB5">
              <w:trPr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1AC2F100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43A44F89" w14:textId="77777777" w:rsidR="009265E3" w:rsidRPr="007B6D18" w:rsidRDefault="009265E3" w:rsidP="00926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Nagrade</w:t>
                  </w: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 xml:space="preserve"> (jubilarne i za radne rezultate)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118C2000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381.976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47B462B0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23,1%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6E3AC6BD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424.179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5FE72177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23,7%</w:t>
                  </w:r>
                </w:p>
              </w:tc>
            </w:tr>
            <w:tr w:rsidR="002F0EB5" w:rsidRPr="007B6D18" w14:paraId="4CFDEA1F" w14:textId="77777777" w:rsidTr="002F0E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15ED5335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4C9DE2F5" w14:textId="77777777" w:rsidR="009265E3" w:rsidRPr="007B6D18" w:rsidRDefault="009265E3" w:rsidP="009265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Pomoći - bolest i smrtni slučaj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6018AE83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110.395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2DEBCBCE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6,7%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49F66D1C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88.103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0DC4ABC2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4,9%</w:t>
                  </w:r>
                </w:p>
              </w:tc>
            </w:tr>
            <w:tr w:rsidR="002F0EB5" w:rsidRPr="007B6D18" w14:paraId="4DA4DD1D" w14:textId="77777777" w:rsidTr="002F0EB5">
              <w:trPr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440B8D64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0A3BFEE9" w14:textId="77777777" w:rsidR="009265E3" w:rsidRPr="007B6D18" w:rsidRDefault="009265E3" w:rsidP="00926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Darovi radnicima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3AAEF25B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6494725C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0,0%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2DF42371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0A006EBC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0,0%</w:t>
                  </w:r>
                </w:p>
              </w:tc>
            </w:tr>
            <w:tr w:rsidR="002F0EB5" w:rsidRPr="007B6D18" w14:paraId="6B6E031C" w14:textId="77777777" w:rsidTr="002F0E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48C391ED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11C21C9F" w14:textId="77777777" w:rsidR="009265E3" w:rsidRPr="007B6D18" w:rsidRDefault="009265E3" w:rsidP="009265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Poklon djeci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5ED0CC56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77.400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0B3BF183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4,7%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15ACE225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82.800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246C57B8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4,6%</w:t>
                  </w:r>
                </w:p>
              </w:tc>
            </w:tr>
            <w:tr w:rsidR="002F0EB5" w:rsidRPr="007B6D18" w14:paraId="6920B5E0" w14:textId="77777777" w:rsidTr="002F0EB5">
              <w:trPr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767A3E22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4AAE8D05" w14:textId="77777777" w:rsidR="009265E3" w:rsidRPr="007B6D18" w:rsidRDefault="009265E3" w:rsidP="00926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Otpremnine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2564DD99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28.840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2995F5D3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1,7%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79045ED0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73.589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37B6567C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4,1%</w:t>
                  </w:r>
                </w:p>
              </w:tc>
            </w:tr>
            <w:tr w:rsidR="002F0EB5" w:rsidRPr="007B6D18" w14:paraId="0AD177CE" w14:textId="77777777" w:rsidTr="002F0E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26EE429F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1D7E84FC" w14:textId="3CA83173" w:rsidR="009265E3" w:rsidRPr="007B6D18" w:rsidRDefault="009265E3" w:rsidP="009265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Pomoć radniku za rođenje djeteta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19C08C5E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24.945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0AD5BD4E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1,5%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44CC13EE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13.304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64256CF2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0,7%</w:t>
                  </w:r>
                </w:p>
              </w:tc>
            </w:tr>
            <w:tr w:rsidR="002F0EB5" w:rsidRPr="007B6D18" w14:paraId="34DCF767" w14:textId="77777777" w:rsidTr="002F0EB5">
              <w:trPr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20EDBEED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9.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5BC26090" w14:textId="77777777" w:rsidR="009265E3" w:rsidRPr="007B6D18" w:rsidRDefault="009265E3" w:rsidP="00926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Naknade za smještaj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4AFF65AE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280.873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42EC973B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17,0%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0972962B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337.800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0BF79A09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18,9%</w:t>
                  </w:r>
                </w:p>
              </w:tc>
            </w:tr>
            <w:tr w:rsidR="002F0EB5" w:rsidRPr="007B6D18" w14:paraId="1D2DD19D" w14:textId="77777777" w:rsidTr="002F0E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1C0C03BC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10.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13F80A8F" w14:textId="77777777" w:rsidR="009265E3" w:rsidRPr="007B6D18" w:rsidRDefault="009265E3" w:rsidP="009265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Naknada za neiskorišteni godišnji odmor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2DB9B976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16.627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490CAF78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1,0%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06B47300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11.635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53AC89C3" w14:textId="77777777" w:rsidR="009265E3" w:rsidRPr="007B6D18" w:rsidRDefault="009265E3" w:rsidP="009265E3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hr-HR"/>
                    </w:rPr>
                    <w:t>0,6%</w:t>
                  </w:r>
                </w:p>
              </w:tc>
            </w:tr>
            <w:tr w:rsidR="002F0EB5" w:rsidRPr="007B6D18" w14:paraId="0B30BB75" w14:textId="77777777" w:rsidTr="002F0EB5">
              <w:trPr>
                <w:trHeight w:val="45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" w:type="pct"/>
                  <w:noWrap/>
                  <w:hideMark/>
                </w:tcPr>
                <w:p w14:paraId="01CF2A5D" w14:textId="77777777" w:rsidR="009265E3" w:rsidRPr="007B6D18" w:rsidRDefault="009265E3" w:rsidP="009265E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124" w:type="pct"/>
                  <w:noWrap/>
                  <w:hideMark/>
                </w:tcPr>
                <w:p w14:paraId="0398D95A" w14:textId="77777777" w:rsidR="009265E3" w:rsidRPr="007B6D18" w:rsidRDefault="009265E3" w:rsidP="009265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U k u p n o </w:t>
                  </w:r>
                </w:p>
              </w:tc>
              <w:tc>
                <w:tcPr>
                  <w:tcW w:w="676" w:type="pct"/>
                  <w:noWrap/>
                  <w:hideMark/>
                </w:tcPr>
                <w:p w14:paraId="19D70194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1.651.348</w:t>
                  </w:r>
                </w:p>
              </w:tc>
              <w:tc>
                <w:tcPr>
                  <w:tcW w:w="483" w:type="pct"/>
                  <w:noWrap/>
                  <w:hideMark/>
                </w:tcPr>
                <w:p w14:paraId="686457DB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hr-HR"/>
                    </w:rPr>
                    <w:t>99%</w:t>
                  </w:r>
                </w:p>
              </w:tc>
              <w:tc>
                <w:tcPr>
                  <w:tcW w:w="731" w:type="pct"/>
                  <w:noWrap/>
                  <w:hideMark/>
                </w:tcPr>
                <w:p w14:paraId="6C8B59FD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1.791.910</w:t>
                  </w:r>
                </w:p>
              </w:tc>
              <w:tc>
                <w:tcPr>
                  <w:tcW w:w="525" w:type="pct"/>
                  <w:noWrap/>
                  <w:hideMark/>
                </w:tcPr>
                <w:p w14:paraId="390836F2" w14:textId="77777777" w:rsidR="009265E3" w:rsidRPr="007B6D18" w:rsidRDefault="009265E3" w:rsidP="009265E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hr-HR"/>
                    </w:rPr>
                  </w:pPr>
                  <w:r w:rsidRPr="007B6D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hr-HR"/>
                    </w:rPr>
                    <w:t>100%</w:t>
                  </w:r>
                </w:p>
              </w:tc>
            </w:tr>
          </w:tbl>
          <w:p w14:paraId="3A08B2EF" w14:textId="7AAE4596" w:rsidR="009265E3" w:rsidRPr="007B6D18" w:rsidRDefault="009265E3" w:rsidP="00E16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7254AEC" w14:textId="00CE0631" w:rsidR="009265E3" w:rsidRPr="007B6D18" w:rsidRDefault="009265E3" w:rsidP="00E16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21F1" w:rsidRPr="007B6D18" w14:paraId="64EFF89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80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313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DC1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na plaće (AOP 155 do 157)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B7E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206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4.015.870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99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4.424.642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3F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110,2</w:t>
            </w:r>
          </w:p>
        </w:tc>
      </w:tr>
      <w:tr w:rsidR="000221F1" w:rsidRPr="007B6D18" w14:paraId="5016D26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06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A6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A8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FB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4.015.870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BD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4.424.642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95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110,2</w:t>
            </w:r>
          </w:p>
        </w:tc>
      </w:tr>
      <w:tr w:rsidR="00FE1069" w:rsidRPr="007B6D18" w14:paraId="636FE75E" w14:textId="77777777" w:rsidTr="007A48FF">
        <w:trPr>
          <w:trHeight w:val="117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947A33E" w14:textId="77777777" w:rsidR="00FE1069" w:rsidRPr="007B6D18" w:rsidRDefault="00FE1069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9B21E4" w14:textId="55FCA65A" w:rsidR="00FE1069" w:rsidRPr="007B6D18" w:rsidRDefault="00FE1069" w:rsidP="00FE1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AOP156 – Na temelju Dodatka II. Temeljnom kolektivnom ugovoru za službenike i namještenike u javnim službama NN 66/2020 osnovica za izračun plaća službenika i namještenika u javnim službama povećana je s 5.809,79kn na 6.044,51kn od 01.01.2021. godine. Višom osnovicom za izračun, povećanjem broja djelatnika te promjenama u strukturi zaposlenih rashodi za doprinose za obvezno zdravstveno osiguranje povećani su za 10,2%.</w:t>
            </w:r>
          </w:p>
        </w:tc>
      </w:tr>
      <w:tr w:rsidR="000221F1" w:rsidRPr="007B6D18" w14:paraId="4E48C23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61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30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 (AOP 159+164+172+182+183)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105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89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12.309.389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95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13.989.560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8FF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113,6</w:t>
            </w:r>
          </w:p>
        </w:tc>
      </w:tr>
      <w:tr w:rsidR="000221F1" w:rsidRPr="007B6D18" w14:paraId="536E34D3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55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3F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zaposlenima (AOP 160 do 163)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02D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F88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666.121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DB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695.416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93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104,4</w:t>
            </w:r>
          </w:p>
        </w:tc>
      </w:tr>
      <w:tr w:rsidR="000221F1" w:rsidRPr="007B6D18" w14:paraId="7E48635D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52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4E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47D5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CC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133.307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4BF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165.949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9D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124,5</w:t>
            </w:r>
          </w:p>
        </w:tc>
      </w:tr>
      <w:tr w:rsidR="00FE1069" w:rsidRPr="007B6D18" w14:paraId="1765B361" w14:textId="77777777" w:rsidTr="004579DE">
        <w:trPr>
          <w:trHeight w:val="7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3F24DB3" w14:textId="77777777" w:rsidR="00FE1069" w:rsidRPr="007B6D18" w:rsidRDefault="00FE1069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48AEC5" w14:textId="781D56C9" w:rsidR="00FE1069" w:rsidRPr="007B6D18" w:rsidRDefault="00011C86" w:rsidP="00FE1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AOP160 – Rashodi za službena putovanja viši su za 24,5%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odnosu na proteklu godinu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zbog manjeg broja sanitetskih prijevoza bolesnika u 2020. godini za vrijeme 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tromjesečnog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epidemiološkog </w:t>
            </w:r>
            <w:proofErr w:type="spellStart"/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lockdown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proofErr w:type="spellEnd"/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koji je 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rezultirao manjim brojem 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sanitetskih 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prijevoza 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bolesnika u razdoblju ožujak-svibanj 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202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221F1" w:rsidRPr="007B6D18" w14:paraId="098A2562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F70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C16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0D5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41A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85.294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47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63.689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3C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74,7</w:t>
            </w:r>
          </w:p>
        </w:tc>
      </w:tr>
      <w:tr w:rsidR="0097164D" w:rsidRPr="007B6D18" w14:paraId="6DF309FC" w14:textId="77777777" w:rsidTr="00DD29B2">
        <w:trPr>
          <w:trHeight w:val="99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698E5CB" w14:textId="77777777" w:rsidR="0097164D" w:rsidRPr="007B6D18" w:rsidRDefault="0097164D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434D22" w14:textId="21E856C6" w:rsidR="0097164D" w:rsidRPr="007B6D18" w:rsidRDefault="004F6553" w:rsidP="00971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AOP162 – Rashodi za stručno usavršavanje zaposlenika ostvareni su 25,3% niži u odnosu na prethodnu godinu a odnose se na seminare, savjetovanja, simpozije</w:t>
            </w:r>
            <w:r w:rsidR="007A48F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tečajeve i stručne ispite.</w:t>
            </w:r>
            <w:r w:rsidR="00725FE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Dio planiranih stručnih usavršavanja koji je trebao biti održan te nije mogao biti održan putem online platforme rezultirao je uvodno smanjenim rashodom</w:t>
            </w:r>
          </w:p>
        </w:tc>
      </w:tr>
      <w:tr w:rsidR="000221F1" w:rsidRPr="007B6D18" w14:paraId="486817B5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7AB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28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materijal i energiju (AOP 165 do 171)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67F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54D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7.907.419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458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9.438.496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79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119,4</w:t>
            </w:r>
          </w:p>
        </w:tc>
      </w:tr>
      <w:tr w:rsidR="000221F1" w:rsidRPr="007B6D18" w14:paraId="5157E5E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46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8D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D7D7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F6C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1.200.597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F1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645.246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7D7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53,7</w:t>
            </w:r>
          </w:p>
        </w:tc>
      </w:tr>
      <w:tr w:rsidR="007A48FF" w:rsidRPr="007B6D18" w14:paraId="3264939B" w14:textId="77777777" w:rsidTr="007A48FF">
        <w:trPr>
          <w:trHeight w:val="7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18279BB" w14:textId="77777777" w:rsidR="007A48FF" w:rsidRPr="007B6D18" w:rsidRDefault="007A48F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40575F" w14:textId="6F8F8D73" w:rsidR="007A48FF" w:rsidRPr="007B6D18" w:rsidRDefault="007A48FF" w:rsidP="007A4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AOP165 – </w:t>
            </w:r>
            <w:r w:rsidR="00DB383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redski materijal i ostal</w:t>
            </w:r>
            <w:r w:rsidR="00DB383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materijaln</w:t>
            </w:r>
            <w:r w:rsidR="00DB383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rashod</w:t>
            </w:r>
            <w:r w:rsidR="00DB383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niži su za 46,3% uslijed promjene knjigovodstvenog evidentiranja rashoda za potrošni medicinski materijal sa odjeljka 3221 rashodi za uredski materijal i ostali materijalni rashodi na odjeljak 3222 materijal i sirovine od 01.01.2021. godine. </w:t>
            </w:r>
          </w:p>
        </w:tc>
      </w:tr>
      <w:tr w:rsidR="000221F1" w:rsidRPr="007B6D18" w14:paraId="5D0C095E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CB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AC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F6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52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4.761.295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84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6.558.999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A90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137,8</w:t>
            </w:r>
          </w:p>
        </w:tc>
      </w:tr>
      <w:tr w:rsidR="00DB3834" w:rsidRPr="007B6D18" w14:paraId="4406984D" w14:textId="77777777" w:rsidTr="00DD29B2">
        <w:trPr>
          <w:trHeight w:val="135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E9E5551" w14:textId="77777777" w:rsidR="00DB3834" w:rsidRPr="007B6D18" w:rsidRDefault="00DB383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18D741" w14:textId="49F3D4E3" w:rsidR="00DB3834" w:rsidRPr="007B6D18" w:rsidRDefault="00DB3834" w:rsidP="00DB3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AOP166 </w:t>
            </w:r>
            <w:r w:rsidR="00052B1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052B1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materijal i sirovine viši su za 37,8% u odnosu na prošlu godinu </w:t>
            </w:r>
            <w:r w:rsidR="00CF782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zbog više utrošenog pomoćnog i sanitetskog materijala prvenstveno nabavom brzih antigenskih testova na covid19, veće 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raspoloživosti i </w:t>
            </w:r>
            <w:r w:rsidR="00CF782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potrošnje donacijskih lijekova antipsihotika te zbog već navedene </w:t>
            </w:r>
            <w:r w:rsidR="008F3537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knjigovodstvenog evidentiranja rashoda za potrošni medicinski materijal sa odjeljka 3221 rashodi za uredski materijal i ostali materijalni rashodi na odjeljak 3222 materijal i sirovine</w:t>
            </w:r>
          </w:p>
        </w:tc>
      </w:tr>
      <w:tr w:rsidR="000221F1" w:rsidRPr="007B6D18" w14:paraId="5943813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23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D2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1E1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1BA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1.447.774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762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1.861.459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CB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128,6</w:t>
            </w:r>
          </w:p>
        </w:tc>
      </w:tr>
      <w:tr w:rsidR="00052B1C" w:rsidRPr="007B6D18" w14:paraId="73814B92" w14:textId="77777777" w:rsidTr="00052B1C">
        <w:trPr>
          <w:trHeight w:val="8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5BCB28A" w14:textId="77777777" w:rsidR="00052B1C" w:rsidRPr="007B6D18" w:rsidRDefault="00052B1C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D9CC59" w14:textId="2FD4E0C8" w:rsidR="00052B1C" w:rsidRPr="007B6D18" w:rsidRDefault="00052B1C" w:rsidP="00052B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AOP167 – Nekontroliranim povećanjem cijena energenata na tržištu tijekom 2021. godine posebice lož ulja, plina i auto goriva rashodi za energiju ostvareni su 28,6% viši 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odnosu na prošlu godinu.</w:t>
            </w:r>
          </w:p>
        </w:tc>
      </w:tr>
      <w:tr w:rsidR="000221F1" w:rsidRPr="007B6D18" w14:paraId="7F647662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44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85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FE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329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308.200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BE8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198.844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9FB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64,5</w:t>
            </w:r>
          </w:p>
        </w:tc>
      </w:tr>
      <w:tr w:rsidR="008F3537" w:rsidRPr="007B6D18" w14:paraId="4114FA88" w14:textId="77777777" w:rsidTr="008F3537">
        <w:trPr>
          <w:trHeight w:val="73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AD58542" w14:textId="77777777" w:rsidR="008F3537" w:rsidRPr="007B6D18" w:rsidRDefault="008F3537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9AF77B" w14:textId="234A584D" w:rsidR="008F3537" w:rsidRPr="007B6D18" w:rsidRDefault="008F3537" w:rsidP="008F3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AOP169 – Rashodi za nabavu sitnog inventara i </w:t>
            </w:r>
            <w:proofErr w:type="spellStart"/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autoguma</w:t>
            </w:r>
            <w:proofErr w:type="spellEnd"/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ostvareni su 35,5% niži nego prošle godine</w:t>
            </w:r>
            <w:r w:rsidR="006305D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uslijed varijabilnih potreba</w:t>
            </w:r>
          </w:p>
        </w:tc>
      </w:tr>
      <w:tr w:rsidR="000221F1" w:rsidRPr="007B6D18" w14:paraId="408F4CC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B6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8EC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AF7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4D5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103.134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0C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82.963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E87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80,4</w:t>
            </w:r>
          </w:p>
        </w:tc>
      </w:tr>
      <w:tr w:rsidR="006305DF" w:rsidRPr="007B6D18" w14:paraId="40C962B1" w14:textId="77777777" w:rsidTr="006305DF">
        <w:trPr>
          <w:trHeight w:val="59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59DD0E8" w14:textId="77777777" w:rsidR="006305DF" w:rsidRPr="007B6D18" w:rsidRDefault="006305D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6737E" w14:textId="234BA851" w:rsidR="006305DF" w:rsidRPr="007B6D18" w:rsidRDefault="006305DF" w:rsidP="00630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AOP171 </w:t>
            </w:r>
            <w:r w:rsidR="00DA434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DA434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Praćenjem potreba za nabavom službene, radne i zaštitne odjeće za zaposlenike u 2021. godini ostvareni su manji rashodi za nabavu iste za 19,6%.</w:t>
            </w:r>
          </w:p>
        </w:tc>
      </w:tr>
      <w:tr w:rsidR="000221F1" w:rsidRPr="007B6D18" w14:paraId="2068383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B4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6E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usluge (AOP 173 do 181)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6E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08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3.429.639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E5A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3.495.239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90B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101,9</w:t>
            </w:r>
          </w:p>
        </w:tc>
      </w:tr>
      <w:tr w:rsidR="000221F1" w:rsidRPr="007B6D18" w14:paraId="4EFF68C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BE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69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BC87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5E2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144.478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46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170.857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944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118,3</w:t>
            </w:r>
          </w:p>
        </w:tc>
      </w:tr>
      <w:tr w:rsidR="00DA4345" w:rsidRPr="007B6D18" w14:paraId="71CFEA34" w14:textId="77777777" w:rsidTr="00DD29B2">
        <w:trPr>
          <w:trHeight w:val="7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B1F2299" w14:textId="77777777" w:rsidR="00DA4345" w:rsidRPr="007B6D18" w:rsidRDefault="00DA434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76EF87" w14:textId="5FEFABFF" w:rsidR="00DA4345" w:rsidRPr="007B6D18" w:rsidRDefault="00DA4345" w:rsidP="00DA4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AOP173 – Povećanjem potreba za stabilnim i brzim internet vezama za nesmetano obavljanje poslovnih procesa 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 djelomičnom prelaskom na 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pružanje usluga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putem 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video linka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nastalim </w:t>
            </w:r>
            <w:r w:rsidR="00DD29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epidemiološkim 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uvjetima uvažavajući preporuke MIZ i HZZO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povećani su rashodi za usluge telefona, pošte i prijevoza za 18,3%</w:t>
            </w:r>
          </w:p>
        </w:tc>
      </w:tr>
      <w:tr w:rsidR="000221F1" w:rsidRPr="007B6D18" w14:paraId="0F482BAB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BC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9F7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8F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41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973.563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4D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896.186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B1F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92,1</w:t>
            </w:r>
          </w:p>
        </w:tc>
      </w:tr>
      <w:tr w:rsidR="006B5355" w:rsidRPr="007B6D18" w14:paraId="1EA1C3BD" w14:textId="77777777" w:rsidTr="006B5355">
        <w:trPr>
          <w:trHeight w:val="88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AD92477" w14:textId="77777777" w:rsidR="006B5355" w:rsidRPr="007B6D18" w:rsidRDefault="006B535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AFF047" w14:textId="41D6C2A2" w:rsidR="006B5355" w:rsidRPr="007B6D18" w:rsidRDefault="006B5355" w:rsidP="006B5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AOP174 – Rashodi za usluge tekućeg i investicijskog održavanja niži su za 7,9% u odnosu na prošlu godinu a odražavaju stvarne 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hitne i tekuće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varijabilne potrebe za tekućim održavanjem građevinskih objekata, postrojenja i opreme te prijevoznih sredstava</w:t>
            </w:r>
          </w:p>
        </w:tc>
      </w:tr>
      <w:tr w:rsidR="000221F1" w:rsidRPr="007B6D18" w14:paraId="5BC3BCFC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CA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37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4EA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09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17.445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67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430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344,2</w:t>
            </w:r>
          </w:p>
        </w:tc>
      </w:tr>
      <w:tr w:rsidR="006B5355" w:rsidRPr="007B6D18" w14:paraId="29C690C6" w14:textId="77777777" w:rsidTr="00586628">
        <w:trPr>
          <w:trHeight w:val="10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3D8AE04" w14:textId="77777777" w:rsidR="006B5355" w:rsidRPr="007B6D18" w:rsidRDefault="006B535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100CC4" w14:textId="1912381F" w:rsidR="006B5355" w:rsidRPr="007B6D18" w:rsidRDefault="00586628" w:rsidP="006B5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AOP175 – Rashodi za usluge promidžbe i informiranja bilježe porast od 244,2% uslijed većih potreba za oglašavanjem u tiskanim i digitalnim medijima te provedbe projekta izrade potpuno nove Internet stranice bolnice</w:t>
            </w:r>
          </w:p>
        </w:tc>
      </w:tr>
      <w:tr w:rsidR="000221F1" w:rsidRPr="007B6D18" w14:paraId="56BDB1F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06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070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A4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096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30.787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A4F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37.675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6A8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122,4</w:t>
            </w:r>
          </w:p>
        </w:tc>
      </w:tr>
      <w:tr w:rsidR="00586628" w:rsidRPr="007B6D18" w14:paraId="546160F8" w14:textId="77777777" w:rsidTr="008E788D">
        <w:trPr>
          <w:trHeight w:val="70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9568F8C" w14:textId="77777777" w:rsidR="00586628" w:rsidRPr="007B6D18" w:rsidRDefault="00586628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9417CA" w14:textId="5267E31C" w:rsidR="00586628" w:rsidRPr="007B6D18" w:rsidRDefault="00586628" w:rsidP="005866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AOP177 – </w:t>
            </w:r>
            <w:r w:rsidR="008E788D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Zbog povećanog broja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digitalni</w:t>
            </w:r>
            <w:r w:rsidR="008E788D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licenc</w:t>
            </w:r>
            <w:r w:rsidR="008E788D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sigurnosne zaštite sustava te </w:t>
            </w:r>
            <w:r w:rsidR="008E788D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licenci programskog rješenja za uredsko poslovanje rashodi za zakupnine i najamnine ostvareni su za 22,4% viši</w:t>
            </w:r>
          </w:p>
        </w:tc>
      </w:tr>
      <w:tr w:rsidR="000221F1" w:rsidRPr="007B6D18" w14:paraId="7894AD5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52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53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C1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CB4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101.792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00D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118.541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0BB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116,5</w:t>
            </w:r>
          </w:p>
        </w:tc>
      </w:tr>
      <w:tr w:rsidR="008E788D" w:rsidRPr="007B6D18" w14:paraId="4AC12C11" w14:textId="77777777" w:rsidTr="00FE101B">
        <w:trPr>
          <w:trHeight w:val="87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88427FF" w14:textId="77777777" w:rsidR="008E788D" w:rsidRPr="007B6D18" w:rsidRDefault="008E788D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A3A36C" w14:textId="31FEB50B" w:rsidR="008E788D" w:rsidRPr="007B6D18" w:rsidRDefault="004C16BF" w:rsidP="008E7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AOP178 – Rashodi za zdravstvene i veterinarske usluge ostvareni su 16,5% viši u odnosu na prošlu godinu a odnose se na obavezne i preventivne preglede zaposlenika </w:t>
            </w:r>
            <w:r w:rsidR="00FE101B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 zdravstvene i laboratorijske usluge drugih ustanova</w:t>
            </w:r>
          </w:p>
        </w:tc>
      </w:tr>
      <w:tr w:rsidR="000221F1" w:rsidRPr="007B6D18" w14:paraId="5AE91995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8F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4A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3F75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4C7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418.749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265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390.469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29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93,2</w:t>
            </w:r>
          </w:p>
        </w:tc>
      </w:tr>
      <w:tr w:rsidR="00FE101B" w:rsidRPr="007B6D18" w14:paraId="171A857A" w14:textId="77777777" w:rsidTr="000A08B5">
        <w:trPr>
          <w:trHeight w:val="87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6F8A03B" w14:textId="77777777" w:rsidR="00FE101B" w:rsidRPr="007B6D18" w:rsidRDefault="00FE101B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33463E" w14:textId="66F5A960" w:rsidR="00FE101B" w:rsidRPr="007B6D18" w:rsidRDefault="00A5562B" w:rsidP="00FE10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AOP179 – Rashodi za intelektualne i osobne usluge manji su za 6,8% a odnose se na Ugovore o djelu za zdravstvene suradnike, autorske honorare predavačima za stručno usavršavanje zaposlenika</w:t>
            </w:r>
            <w:r w:rsidR="000A08B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odvjetničke usluge </w:t>
            </w:r>
            <w:r w:rsidR="000A08B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ostale intelektualne usluge</w:t>
            </w:r>
          </w:p>
        </w:tc>
      </w:tr>
      <w:tr w:rsidR="000221F1" w:rsidRPr="007B6D18" w14:paraId="2AA44B8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F9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B9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9C8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15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619.979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E79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690.918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51D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111,4</w:t>
            </w:r>
          </w:p>
        </w:tc>
      </w:tr>
      <w:tr w:rsidR="000A08B5" w:rsidRPr="007B6D18" w14:paraId="1741DFC4" w14:textId="77777777" w:rsidTr="000A08B5">
        <w:trPr>
          <w:trHeight w:val="7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DE46A81" w14:textId="77777777" w:rsidR="000A08B5" w:rsidRPr="007B6D18" w:rsidRDefault="000A08B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4AEBB9" w14:textId="49CA385C" w:rsidR="000A08B5" w:rsidRPr="007B6D18" w:rsidRDefault="000A08B5" w:rsidP="000A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AOP180 – Rashodi za računalne usluge porasli su u odnosu na prošlu godinu za 11,4% a odnose se na održavanje poslovnog i bolničkog informacijskog sustava te zakup računalnih poslužitelja u oblaku</w:t>
            </w:r>
          </w:p>
        </w:tc>
      </w:tr>
      <w:tr w:rsidR="000221F1" w:rsidRPr="007B6D18" w14:paraId="2BB5748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E3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D7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5687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450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118.631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1B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99.342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F48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83,7</w:t>
            </w:r>
          </w:p>
        </w:tc>
      </w:tr>
      <w:tr w:rsidR="000A08B5" w:rsidRPr="007B6D18" w14:paraId="2272792F" w14:textId="77777777" w:rsidTr="00BF718A">
        <w:trPr>
          <w:trHeight w:val="73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7E95629" w14:textId="77777777" w:rsidR="000A08B5" w:rsidRPr="007B6D18" w:rsidRDefault="000A08B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915B90" w14:textId="67680B27" w:rsidR="000A08B5" w:rsidRPr="007B6D18" w:rsidRDefault="000A08B5" w:rsidP="000A08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AOP181 – Rashodi za ostale usluge </w:t>
            </w:r>
            <w:r w:rsidR="00BF718A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niži su za 16,3% a odnose se na grafičke i tiskovne usluge, usluge uređenja prostora i okoliša, usluge pri registraciji prijevoznih sredstava, tv pretplatu i ostale usluge</w:t>
            </w:r>
          </w:p>
        </w:tc>
      </w:tr>
      <w:tr w:rsidR="000221F1" w:rsidRPr="007B6D18" w14:paraId="1951626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30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79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 (AOP 184 do 190)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33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B90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306.210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A2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360.409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015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117,7</w:t>
            </w:r>
          </w:p>
        </w:tc>
      </w:tr>
      <w:tr w:rsidR="000221F1" w:rsidRPr="007B6D18" w14:paraId="22287437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E8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FB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6F5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E8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91.119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79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138.782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44C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152,3</w:t>
            </w:r>
          </w:p>
        </w:tc>
      </w:tr>
      <w:tr w:rsidR="00BF718A" w:rsidRPr="007B6D18" w14:paraId="4B9CB737" w14:textId="77777777" w:rsidTr="00BF718A">
        <w:trPr>
          <w:trHeight w:val="75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DA4D113" w14:textId="77777777" w:rsidR="00BF718A" w:rsidRPr="007B6D18" w:rsidRDefault="00BF718A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1563A7" w14:textId="0C7BE8C0" w:rsidR="00BF718A" w:rsidRPr="007B6D18" w:rsidRDefault="00BF718A" w:rsidP="00BF7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AOP185 – Rashodi za premije osiguranja porasli su za 52,3% uslijed promjene načina plaćanja polica unaprijed za naredno razdoblje temeljem novog ugovora sa osiguravajućom kućom </w:t>
            </w:r>
            <w:r w:rsidR="005B3D6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nakon provedene županijske objedinjene javne nabave</w:t>
            </w:r>
          </w:p>
        </w:tc>
      </w:tr>
      <w:tr w:rsidR="000221F1" w:rsidRPr="007B6D18" w14:paraId="3459555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75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FC4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A29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F5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76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13.467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351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139,7</w:t>
            </w:r>
          </w:p>
        </w:tc>
      </w:tr>
      <w:tr w:rsidR="005B3D63" w:rsidRPr="007B6D18" w14:paraId="085E28A5" w14:textId="77777777" w:rsidTr="005B3D63">
        <w:trPr>
          <w:trHeight w:val="72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0F3061" w14:textId="77777777" w:rsidR="005B3D63" w:rsidRPr="007B6D18" w:rsidRDefault="005B3D63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F6E93A" w14:textId="66603D95" w:rsidR="005B3D63" w:rsidRPr="007B6D18" w:rsidRDefault="005B3D63" w:rsidP="005B3D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AOP186 – Rashodi za reprezentaciju bilježe porast od 39,7% ali ne radi se o značajnom financijskom iznosu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ukupno 13.467kn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 korištena </w:t>
            </w:r>
            <w:r w:rsidR="003954F5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 povodom svečanog otvaranja novoobnovljenih paviljona i senzornog kabineta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 obilježavanja godišnjice bolnice</w:t>
            </w:r>
          </w:p>
        </w:tc>
      </w:tr>
      <w:tr w:rsidR="000221F1" w:rsidRPr="007B6D18" w14:paraId="40E43A6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ED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FE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1B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00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E45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4CA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234,4</w:t>
            </w:r>
          </w:p>
        </w:tc>
      </w:tr>
      <w:tr w:rsidR="003954F5" w:rsidRPr="007B6D18" w14:paraId="43501919" w14:textId="77777777" w:rsidTr="001679CB">
        <w:trPr>
          <w:trHeight w:val="8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C81025" w14:textId="77777777" w:rsidR="003954F5" w:rsidRPr="007B6D18" w:rsidRDefault="003954F5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0A1838" w14:textId="438DD658" w:rsidR="003954F5" w:rsidRPr="007B6D18" w:rsidRDefault="006D4F94" w:rsidP="003954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AOP188 – Povećanje rashoda za pristojbe i naknade za 134,4% odnosi se na nepredvidive potrebe plaćanja upravnih, administrativnih i sudski pristojbi te manjim dijelom novčanu naknadu poslodavca zbog nezapošljavanja osoba s invaliditetom </w:t>
            </w:r>
          </w:p>
        </w:tc>
      </w:tr>
      <w:tr w:rsidR="000221F1" w:rsidRPr="007B6D18" w14:paraId="15AC1489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7D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529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 (AOP 192+197+205)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C6E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0C7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14.350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833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16.243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4A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113,2</w:t>
            </w:r>
          </w:p>
        </w:tc>
      </w:tr>
      <w:tr w:rsidR="000221F1" w:rsidRPr="007B6D18" w14:paraId="27B15CA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55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44D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financijski rashodi (AOP 206 do 209)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160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C62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14.350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F8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16.243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55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113,2</w:t>
            </w:r>
          </w:p>
        </w:tc>
      </w:tr>
      <w:tr w:rsidR="000221F1" w:rsidRPr="007B6D18" w14:paraId="71DF265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B6F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912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F9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7A4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14.167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A3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34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114,6</w:t>
            </w:r>
          </w:p>
        </w:tc>
      </w:tr>
      <w:tr w:rsidR="001679CB" w:rsidRPr="007B6D18" w14:paraId="1B62CA5D" w14:textId="77777777" w:rsidTr="001679CB">
        <w:trPr>
          <w:trHeight w:val="65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B340F3F" w14:textId="77777777" w:rsidR="001679CB" w:rsidRPr="007B6D18" w:rsidRDefault="001679CB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6867CC" w14:textId="6DC59AF2" w:rsidR="001679CB" w:rsidRPr="007B6D18" w:rsidRDefault="001679CB" w:rsidP="00167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AOP206 – Uvođenje kartičnog načina plaćanja tijekom 2021. godine povećali su se rashodi za bankarske usluge i usluge platnog prometa za 14,6%</w:t>
            </w:r>
          </w:p>
        </w:tc>
      </w:tr>
      <w:tr w:rsidR="000221F1" w:rsidRPr="007B6D18" w14:paraId="0AE3B2FC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171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95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Zatezne kamate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30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86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F06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6F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</w:t>
            </w:r>
          </w:p>
        </w:tc>
      </w:tr>
      <w:tr w:rsidR="001679CB" w:rsidRPr="007B6D18" w14:paraId="3799574C" w14:textId="77777777" w:rsidTr="001679CB">
        <w:trPr>
          <w:trHeight w:val="45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9DDBB27" w14:textId="77777777" w:rsidR="001679CB" w:rsidRPr="007B6D18" w:rsidRDefault="001679CB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0F30F" w14:textId="04CC84E4" w:rsidR="001679CB" w:rsidRPr="007B6D18" w:rsidRDefault="001679CB" w:rsidP="00167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AOP208 – Tijekom 2021. godine nije bilo značajnijih rashoda za zatezne kamate</w:t>
            </w:r>
          </w:p>
        </w:tc>
      </w:tr>
      <w:tr w:rsidR="000221F1" w:rsidRPr="007B6D18" w14:paraId="64B1C39C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F99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93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</w:t>
            </w: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248+254)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DF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43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105.299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8D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79.149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D72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75,2</w:t>
            </w:r>
          </w:p>
        </w:tc>
      </w:tr>
      <w:tr w:rsidR="000221F1" w:rsidRPr="007B6D18" w14:paraId="29431DF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FE1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C1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naknade građanima i kućanstvima iz proračuna (AOP 255 do 257)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18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90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105.299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7E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79.149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EC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75,2</w:t>
            </w:r>
          </w:p>
        </w:tc>
      </w:tr>
      <w:tr w:rsidR="000221F1" w:rsidRPr="007B6D18" w14:paraId="5264BBEB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57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18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novcu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ED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E4D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105.299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1C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79.149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DAE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75,2</w:t>
            </w:r>
          </w:p>
        </w:tc>
      </w:tr>
      <w:tr w:rsidR="001679CB" w:rsidRPr="007B6D18" w14:paraId="49F952E7" w14:textId="77777777" w:rsidTr="00C72DA6">
        <w:trPr>
          <w:trHeight w:val="87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E2DAB5" w14:textId="77777777" w:rsidR="001679CB" w:rsidRPr="007B6D18" w:rsidRDefault="001679CB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167E56" w14:textId="15249C95" w:rsidR="001679CB" w:rsidRPr="007B6D18" w:rsidRDefault="00B51ECE" w:rsidP="00167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AOP255 </w:t>
            </w:r>
            <w:r w:rsidR="00C72DA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C72DA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naknade građanima i kućanstvima u novcu ostvareni su 24,8% niži najvećim dijelom nižim rashodima za stipendije učenika srednje medicinske škole gdje su polovicom 2021. godine školovanje završili 6 učenika stipendista</w:t>
            </w:r>
          </w:p>
        </w:tc>
      </w:tr>
      <w:tr w:rsidR="000221F1" w:rsidRPr="007B6D18" w14:paraId="313C5469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87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96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BD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Obračunati prihodi poslovanja - nenaplaćeni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E5F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E6E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941.547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070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3.164.024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92F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336,0</w:t>
            </w:r>
          </w:p>
        </w:tc>
      </w:tr>
      <w:tr w:rsidR="000221F1" w:rsidRPr="007B6D18" w14:paraId="04C36CC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BB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9661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C73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prodaje proizvoda i robe i pruženih usluga - nenaplaćeni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834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B20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49.110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CD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665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65,6</w:t>
            </w:r>
          </w:p>
        </w:tc>
      </w:tr>
      <w:tr w:rsidR="000221F1" w:rsidRPr="007B6D18" w14:paraId="003A014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F3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9673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16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HZZO-a na temelju ugovornih obveza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09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C2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491.019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38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2.835.222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BA9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577,4</w:t>
            </w:r>
          </w:p>
        </w:tc>
      </w:tr>
      <w:tr w:rsidR="0068284F" w:rsidRPr="007B6D18" w14:paraId="131DB460" w14:textId="77777777" w:rsidTr="0068284F">
        <w:trPr>
          <w:trHeight w:val="57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9E59" w14:textId="77777777" w:rsidR="0068284F" w:rsidRPr="007B6D18" w:rsidRDefault="0068284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41E5E7" w14:textId="38547CC4" w:rsidR="0068284F" w:rsidRPr="007B6D18" w:rsidRDefault="0068284F" w:rsidP="006828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AOP289 – Povećanje obračunatih prihoda poslovanja vezano je uz veću fakturiranu realizaciju bolničkih i SKZZ usluga u odnosu na prošlu godinu </w:t>
            </w:r>
          </w:p>
        </w:tc>
      </w:tr>
      <w:tr w:rsidR="000221F1" w:rsidRPr="007B6D18" w14:paraId="3DFE04B5" w14:textId="77777777" w:rsidTr="00DA4345">
        <w:trPr>
          <w:trHeight w:val="300"/>
        </w:trPr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4F343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Prihodi i rashodi od nefinancijske imovine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9309C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A2F4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25259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1FE76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</w:tr>
      <w:tr w:rsidR="000221F1" w:rsidRPr="007B6D18" w14:paraId="7A2F04E4" w14:textId="77777777" w:rsidTr="00DA4345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1D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A8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 (AOP 293+305+338+342)</w:t>
            </w:r>
          </w:p>
        </w:tc>
        <w:tc>
          <w:tcPr>
            <w:tcW w:w="4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4F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292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FB2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4.701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E3D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1.593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F06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33,9</w:t>
            </w:r>
          </w:p>
        </w:tc>
      </w:tr>
      <w:tr w:rsidR="000221F1" w:rsidRPr="007B6D18" w14:paraId="5335026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FC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96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proizvedene dugotrajne imovine (AOP 306+311+320+325+330+333)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B1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026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4.701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C6B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5B3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33,9</w:t>
            </w:r>
          </w:p>
        </w:tc>
      </w:tr>
      <w:tr w:rsidR="000221F1" w:rsidRPr="007B6D18" w14:paraId="34AB004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CE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F4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građevinskih objekata (AOP 307 do 310)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500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4CA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4.701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43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777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33,9</w:t>
            </w:r>
          </w:p>
        </w:tc>
      </w:tr>
      <w:tr w:rsidR="000221F1" w:rsidRPr="007B6D18" w14:paraId="0D974A0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FE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0EA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9F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AA9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C0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19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33,9</w:t>
            </w:r>
          </w:p>
        </w:tc>
      </w:tr>
      <w:tr w:rsidR="00C72DA6" w:rsidRPr="007B6D18" w14:paraId="3353AF2F" w14:textId="77777777" w:rsidTr="00C72DA6">
        <w:trPr>
          <w:trHeight w:val="70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7E8993A" w14:textId="77777777" w:rsidR="00C72DA6" w:rsidRPr="007B6D18" w:rsidRDefault="00C72DA6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DB9E45" w14:textId="6ED286E3" w:rsidR="00C72DA6" w:rsidRPr="007B6D18" w:rsidRDefault="003C142F" w:rsidP="00C72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AOP307 – 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Realizirani p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rihodi od prodaje stambenih objekata su 66,1% niži od prošlogodišnjih a odnose se na 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preostali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otkup stanova</w:t>
            </w:r>
          </w:p>
        </w:tc>
      </w:tr>
      <w:tr w:rsidR="000221F1" w:rsidRPr="007B6D18" w14:paraId="4D4BE0F9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29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99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 (AOP 345+357+390+394+396)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42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16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12.262.893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C41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3.711.956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1F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30,3</w:t>
            </w:r>
          </w:p>
        </w:tc>
      </w:tr>
      <w:tr w:rsidR="000221F1" w:rsidRPr="007B6D18" w14:paraId="393FBEDB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50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205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neproizvedene dugotrajne imovine (AOP 346+350)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A3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0E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140.042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E6E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64.503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81E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46,1</w:t>
            </w:r>
          </w:p>
        </w:tc>
      </w:tr>
      <w:tr w:rsidR="000221F1" w:rsidRPr="007B6D18" w14:paraId="275B862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70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4D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imovina (AOP 351 do 356)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F5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535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140.042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D8F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64.503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385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46,1</w:t>
            </w:r>
          </w:p>
        </w:tc>
      </w:tr>
      <w:tr w:rsidR="000221F1" w:rsidRPr="007B6D18" w14:paraId="0CF7102B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68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26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F01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9B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F7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28C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46,1</w:t>
            </w:r>
          </w:p>
        </w:tc>
      </w:tr>
      <w:tr w:rsidR="003C142F" w:rsidRPr="007B6D18" w14:paraId="5402B9DE" w14:textId="77777777" w:rsidTr="003C142F">
        <w:trPr>
          <w:trHeight w:val="76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401FDC9" w14:textId="77777777" w:rsidR="003C142F" w:rsidRPr="007B6D18" w:rsidRDefault="003C142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5DA40" w14:textId="111E83AE" w:rsidR="003C142F" w:rsidRPr="007B6D18" w:rsidRDefault="003C142F" w:rsidP="003C1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AOP353 – Rashodi za nabavu licenci niži su za 53,9% a u 2021. godini se odnose na </w:t>
            </w:r>
            <w:r w:rsidR="006834E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nabavu dodatnih licenci za bolnički informacijski sustav</w:t>
            </w:r>
            <w:r w:rsidR="00DD36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vezanih uz postojeću djelatnost otvaranje novog paviljona</w:t>
            </w:r>
            <w:r w:rsidR="006834E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licenci operativnih sustava te programskih paketa MS Office</w:t>
            </w:r>
          </w:p>
        </w:tc>
      </w:tr>
      <w:tr w:rsidR="000221F1" w:rsidRPr="007B6D18" w14:paraId="68D779C1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A82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E1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 (AOP 358+363+372+377+382+385)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3C3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AE8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3.165.323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D6D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840.393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A1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26,5</w:t>
            </w:r>
          </w:p>
        </w:tc>
      </w:tr>
      <w:tr w:rsidR="000221F1" w:rsidRPr="007B6D18" w14:paraId="2C03CF4D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7C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28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 (AOP 359 do 362)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A5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06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142.298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10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16.739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7D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11,8</w:t>
            </w:r>
          </w:p>
        </w:tc>
      </w:tr>
      <w:tr w:rsidR="000221F1" w:rsidRPr="007B6D18" w14:paraId="01746B75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A5A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81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8D2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CEF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142.298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3F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16.739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D2D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11,8</w:t>
            </w:r>
          </w:p>
        </w:tc>
      </w:tr>
      <w:tr w:rsidR="006834EE" w:rsidRPr="007B6D18" w14:paraId="7C8E6983" w14:textId="77777777" w:rsidTr="006834EE">
        <w:trPr>
          <w:trHeight w:val="63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DF69CE" w14:textId="77777777" w:rsidR="006834EE" w:rsidRPr="007B6D18" w:rsidRDefault="006834EE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9F2656" w14:textId="27B9112D" w:rsidR="006834EE" w:rsidRPr="007B6D18" w:rsidRDefault="006834EE" w:rsidP="00683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AOP362 – </w:t>
            </w:r>
            <w:r w:rsidR="004716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Ostvareni r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ashodi za ostale građevinske objekte su </w:t>
            </w:r>
            <w:r w:rsidR="004716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niži za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88,2% nego prošle godine </w:t>
            </w:r>
            <w:r w:rsidR="004716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2021. godini se odnose na </w:t>
            </w:r>
            <w:r w:rsidR="0060561D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postavu optičke računalne infrastrukture između dvije bolničke zgrade</w:t>
            </w:r>
          </w:p>
        </w:tc>
      </w:tr>
      <w:tr w:rsidR="000221F1" w:rsidRPr="007B6D18" w14:paraId="2818DAF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9F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C6F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364 do 371)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08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4F4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2.920.455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DC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737.383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79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25,2</w:t>
            </w:r>
          </w:p>
        </w:tc>
      </w:tr>
      <w:tr w:rsidR="000221F1" w:rsidRPr="007B6D18" w14:paraId="1298DDF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E8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BAD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47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D3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783.164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3B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373.721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DE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47,7</w:t>
            </w:r>
          </w:p>
        </w:tc>
      </w:tr>
      <w:tr w:rsidR="0060561D" w:rsidRPr="007B6D18" w14:paraId="1DA6ED4D" w14:textId="77777777" w:rsidTr="00F75687">
        <w:trPr>
          <w:trHeight w:val="120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98A4B2" w14:textId="77777777" w:rsidR="0060561D" w:rsidRPr="007B6D18" w:rsidRDefault="0060561D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367157" w14:textId="242FB593" w:rsidR="0060561D" w:rsidRPr="007B6D18" w:rsidRDefault="0060561D" w:rsidP="00605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AOP364 – Rashodi za nabavu uredske opreme i namještaja značajno su niži u odnosu na prošlu godinu a sastoje se od rashoda za nabavu računalne opreme</w:t>
            </w:r>
            <w:r w:rsidR="00F75687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iznosu od 71.101kn, raznog uredskog namještaja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F75687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iznosu od 55.830kn, namještaja za medicinske potrebe većinom nabave bolesničkih ormarića za bolesničke sobe na odjelima u iznosu od 229.225kn te ostale uredske opreme odnosno nabave fotokopirnog uređaja za SKZZ recepciju u iznosu od 17.565kn</w:t>
            </w:r>
          </w:p>
        </w:tc>
      </w:tr>
      <w:tr w:rsidR="000221F1" w:rsidRPr="007B6D18" w14:paraId="7A18197E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A7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FD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E50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F8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57.654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C72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996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19,7</w:t>
            </w:r>
          </w:p>
        </w:tc>
      </w:tr>
      <w:tr w:rsidR="00F75687" w:rsidRPr="007B6D18" w14:paraId="371A5B48" w14:textId="77777777" w:rsidTr="00F75687">
        <w:trPr>
          <w:trHeight w:val="58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742B5FC" w14:textId="77777777" w:rsidR="00F75687" w:rsidRPr="007B6D18" w:rsidRDefault="00F75687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B9F5DF" w14:textId="6696BCB5" w:rsidR="00F75687" w:rsidRPr="007B6D18" w:rsidRDefault="00F75687" w:rsidP="00F75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AOP365 – Rashodi za komunikacijsku opremu </w:t>
            </w:r>
            <w:r w:rsidR="00E21E0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 u 2021. godini odnose na nabavu TV uređaja za prostore gdje borave bolesnici</w:t>
            </w:r>
          </w:p>
        </w:tc>
      </w:tr>
      <w:tr w:rsidR="000221F1" w:rsidRPr="007B6D18" w14:paraId="4D6356E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EF4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93C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E6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19B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81.750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F8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1B0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18,0</w:t>
            </w:r>
          </w:p>
        </w:tc>
      </w:tr>
      <w:tr w:rsidR="00E21E0F" w:rsidRPr="007B6D18" w14:paraId="1E8E0082" w14:textId="77777777" w:rsidTr="00E21E0F">
        <w:trPr>
          <w:trHeight w:val="596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D295E4C" w14:textId="77777777" w:rsidR="00E21E0F" w:rsidRPr="007B6D18" w:rsidRDefault="00E21E0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800D60" w14:textId="628967AD" w:rsidR="00E21E0F" w:rsidRPr="007B6D18" w:rsidRDefault="00E21E0F" w:rsidP="00E21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AOP366 – Na poziciji opreme za održavanje i zaštitu ostvaren je značajno manji iznos a odnosi se na zamjenu nekoliko dotrajalih klima uređaja u okviru raspoloživih sredstava</w:t>
            </w:r>
          </w:p>
        </w:tc>
      </w:tr>
      <w:tr w:rsidR="000221F1" w:rsidRPr="007B6D18" w14:paraId="1EE0846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55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8B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46D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F56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1.187.803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7B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157.747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C0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13,3</w:t>
            </w:r>
          </w:p>
        </w:tc>
      </w:tr>
      <w:tr w:rsidR="00E21E0F" w:rsidRPr="007B6D18" w14:paraId="66AE2D59" w14:textId="77777777" w:rsidTr="00B30228">
        <w:trPr>
          <w:trHeight w:val="128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8CED381" w14:textId="77777777" w:rsidR="00E21E0F" w:rsidRPr="007B6D18" w:rsidRDefault="00E21E0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A06E24" w14:textId="29599A84" w:rsidR="00E21E0F" w:rsidRPr="007B6D18" w:rsidRDefault="00E21E0F" w:rsidP="00E21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AOP367 </w:t>
            </w:r>
            <w:r w:rsidR="00793CB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93CB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medicinske i laboratorijske opreme ostvareni su u okvirima planiranih sredstava a odnose se na nabavu uređaja za spirometriju u iznosu od 16.875kn, opreme za EMDR terapiju u iznosu od </w:t>
            </w:r>
            <w:r w:rsidR="00B3022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5.481</w:t>
            </w:r>
            <w:r w:rsidR="00793CB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kn, </w:t>
            </w:r>
            <w:proofErr w:type="spellStart"/>
            <w:r w:rsidR="00793CB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autoklava</w:t>
            </w:r>
            <w:proofErr w:type="spellEnd"/>
            <w:r w:rsidR="00793CB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iznosu od 24.625kn, </w:t>
            </w:r>
            <w:r w:rsidR="00B3022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multifunkcijskog uređaja za fizikalnu terapiju u iznosu od 23.344kn, električnog ležaja za medicinsku masažu i terapiju u iznosu od 11.389kn, </w:t>
            </w:r>
            <w:proofErr w:type="spellStart"/>
            <w:r w:rsidR="00B3022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holtera</w:t>
            </w:r>
            <w:proofErr w:type="spellEnd"/>
            <w:r w:rsidR="00B3022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EKG-a u iznosu od 26.100kn, medicinske opreme iz donacije u iznosu od 37.000kn te ostale razne medicinske opreme u iznosu od 12.933kn</w:t>
            </w:r>
          </w:p>
        </w:tc>
      </w:tr>
      <w:tr w:rsidR="000221F1" w:rsidRPr="007B6D18" w14:paraId="00B59EBE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7F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20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Instrumenti, uređaji i strojevi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94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637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116.875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AB7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11.951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A2C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10,2</w:t>
            </w:r>
          </w:p>
        </w:tc>
      </w:tr>
      <w:tr w:rsidR="00B30228" w:rsidRPr="007B6D18" w14:paraId="647F15EA" w14:textId="77777777" w:rsidTr="0068284F">
        <w:trPr>
          <w:trHeight w:val="8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3DFD074" w14:textId="77777777" w:rsidR="00B30228" w:rsidRPr="007B6D18" w:rsidRDefault="00B30228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34BC8" w14:textId="3FE278B6" w:rsidR="00B30228" w:rsidRPr="007B6D18" w:rsidRDefault="00E907AA" w:rsidP="00B30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AOP368 – Rashodi za nabavu instrumenata, uređaja i strojeva su za 89,8% manji u odnosu na prošlogodišnje a odnose se </w:t>
            </w:r>
            <w:r w:rsidR="00A427F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manje nabave opreme za tekuće održavanje građevinskih objekata i bolničkog kruga </w:t>
            </w:r>
            <w:r w:rsidR="002D7E2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npr. uređaja za </w:t>
            </w:r>
            <w:proofErr w:type="spellStart"/>
            <w:r w:rsidR="002D7E2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odštopavanje</w:t>
            </w:r>
            <w:proofErr w:type="spellEnd"/>
            <w:r w:rsidR="002D7E2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odvodnih cijevi, uređaja za održavanje </w:t>
            </w:r>
            <w:r w:rsidR="0068284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živica i manjih uređaja za bolničke odjele</w:t>
            </w:r>
          </w:p>
        </w:tc>
      </w:tr>
      <w:tr w:rsidR="000221F1" w:rsidRPr="007B6D18" w14:paraId="279510C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3B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81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D17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E78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285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B30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4B1D50" w:rsidRPr="007B6D18" w14:paraId="2371835C" w14:textId="77777777" w:rsidTr="004B1D50">
        <w:trPr>
          <w:trHeight w:val="58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1182681" w14:textId="77777777" w:rsidR="004B1D50" w:rsidRPr="007B6D18" w:rsidRDefault="004B1D50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EFA3F4" w14:textId="745095A4" w:rsidR="004B1D50" w:rsidRPr="007B6D18" w:rsidRDefault="004B1D50" w:rsidP="004B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AOP369 – U 2021. godini nije nabavljana sportska i glazbena oprema</w:t>
            </w:r>
          </w:p>
        </w:tc>
      </w:tr>
      <w:tr w:rsidR="000221F1" w:rsidRPr="007B6D18" w14:paraId="564FB82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D3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53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E3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FE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686.887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C9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167.945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FB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24,5</w:t>
            </w:r>
          </w:p>
        </w:tc>
      </w:tr>
      <w:tr w:rsidR="004B1D50" w:rsidRPr="007B6D18" w14:paraId="48A125FC" w14:textId="77777777" w:rsidTr="00BE301F">
        <w:trPr>
          <w:trHeight w:val="146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340404C" w14:textId="77777777" w:rsidR="004B1D50" w:rsidRPr="007B6D18" w:rsidRDefault="004B1D50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E62833" w14:textId="4BFBF979" w:rsidR="004B1D50" w:rsidRPr="007B6D18" w:rsidRDefault="004B1D50" w:rsidP="004B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AOP370 </w:t>
            </w:r>
            <w:r w:rsidR="00692AA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92AA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uređaja, strojeva i opreme za ostale namjene ostvareni su 75,5% niži od prošlogodišnjih a odnose se na nabavu </w:t>
            </w:r>
            <w:r w:rsidR="00D051A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opreme za fizikalnu rehabilitaciju osoba sa </w:t>
            </w:r>
            <w:proofErr w:type="spellStart"/>
            <w:r w:rsidR="00D051A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neurokognitivnim</w:t>
            </w:r>
            <w:proofErr w:type="spellEnd"/>
            <w:r w:rsidR="00D051A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poremećajima u iznosu 74.804kn, uređaja za dezinfekciju ruku i mjerenje temperature</w:t>
            </w:r>
            <w:r w:rsidR="00A05C2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SKZ</w:t>
            </w:r>
            <w:r w:rsidR="00772A0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 recepciju u iznosu od 11.663kn, opreme za videonadzor novog parkirališta u iznosu od 24.979kn, senzorne staze za senzorni kabinet u iznosu od 17.490kn, </w:t>
            </w:r>
            <w:r w:rsidR="00BE301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sigurnosnog sustava nadzora server sobe u iznosu od 10.794kn i ostale opreme u iznosu od 28.215kn.</w:t>
            </w:r>
          </w:p>
        </w:tc>
      </w:tr>
      <w:tr w:rsidR="000221F1" w:rsidRPr="007B6D18" w14:paraId="4562136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E3B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2B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Knjige, umjetnička djela i ostale izložbene vrijednosti (AOP 378 do 381)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9C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6E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BE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1.673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7D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390,9</w:t>
            </w:r>
          </w:p>
        </w:tc>
      </w:tr>
      <w:tr w:rsidR="000221F1" w:rsidRPr="007B6D18" w14:paraId="70F8152D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AF7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3F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0A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305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174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5E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390,9</w:t>
            </w:r>
          </w:p>
        </w:tc>
      </w:tr>
      <w:tr w:rsidR="00BE301F" w:rsidRPr="007B6D18" w14:paraId="18D245D8" w14:textId="77777777" w:rsidTr="00BE301F">
        <w:trPr>
          <w:trHeight w:val="57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40B62C3" w14:textId="77777777" w:rsidR="00BE301F" w:rsidRPr="007B6D18" w:rsidRDefault="00BE301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4DEEE3" w14:textId="7958C4A7" w:rsidR="00BE301F" w:rsidRPr="007B6D18" w:rsidRDefault="00BE301F" w:rsidP="00BE30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AOP378 </w:t>
            </w:r>
            <w:r w:rsidR="00ED15E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D15E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ovoj poziciji nabavljeno je nekoliko knjiga za stručnu knjižnicu</w:t>
            </w:r>
          </w:p>
        </w:tc>
      </w:tr>
      <w:tr w:rsidR="000221F1" w:rsidRPr="007B6D18" w14:paraId="5DA0C77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7B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AD0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Višegodišnji nasadi i osnovno stado (AOP 383+384)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199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2C4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20.367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B02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4.848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F6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23,8</w:t>
            </w:r>
          </w:p>
        </w:tc>
      </w:tr>
      <w:tr w:rsidR="000221F1" w:rsidRPr="007B6D18" w14:paraId="189F3A3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F6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3E9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Višegodišnji nasadi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CBF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D96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20.367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4F9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C05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23,8</w:t>
            </w:r>
          </w:p>
        </w:tc>
      </w:tr>
      <w:tr w:rsidR="00ED15E6" w:rsidRPr="007B6D18" w14:paraId="39734365" w14:textId="77777777" w:rsidTr="00ED15E6">
        <w:trPr>
          <w:trHeight w:val="48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63CBA5" w14:textId="77777777" w:rsidR="00ED15E6" w:rsidRPr="007B6D18" w:rsidRDefault="00ED15E6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A50310" w14:textId="7F9F6DF9" w:rsidR="00ED15E6" w:rsidRPr="007B6D18" w:rsidRDefault="00ED15E6" w:rsidP="00ED1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AOP383 – Na poziciji višegodišnjih nasada nabavljene su sadnice stabala za uređenje bolničkog parka</w:t>
            </w:r>
            <w:r w:rsidR="004716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kao dio redovitog </w:t>
            </w:r>
            <w:proofErr w:type="spellStart"/>
            <w:r w:rsidR="004716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zanavljanja</w:t>
            </w:r>
            <w:proofErr w:type="spellEnd"/>
            <w:r w:rsidR="004716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bolničkog parka</w:t>
            </w:r>
          </w:p>
        </w:tc>
      </w:tr>
      <w:tr w:rsidR="000221F1" w:rsidRPr="007B6D18" w14:paraId="39866AFD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62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72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proizvedena imovina (AOP 386 do 389)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D4B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8B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81.775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0AB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79.750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0A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97,5</w:t>
            </w:r>
          </w:p>
        </w:tc>
      </w:tr>
      <w:tr w:rsidR="000221F1" w:rsidRPr="007B6D18" w14:paraId="7EFF837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3B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2F2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Ulaganja u računalne programe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E3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C6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18B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34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ED15E6" w:rsidRPr="007B6D18" w14:paraId="3CE64921" w14:textId="77777777" w:rsidTr="00ED15E6">
        <w:trPr>
          <w:trHeight w:val="62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C7F2636" w14:textId="77777777" w:rsidR="00ED15E6" w:rsidRPr="007B6D18" w:rsidRDefault="00ED15E6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787326" w14:textId="298AC028" w:rsidR="00ED15E6" w:rsidRPr="007B6D18" w:rsidRDefault="00ED15E6" w:rsidP="00ED1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AOP387 – U 2021. godini nije bilo dodatnih ulaganja u računalne programe</w:t>
            </w:r>
          </w:p>
        </w:tc>
      </w:tr>
      <w:tr w:rsidR="000221F1" w:rsidRPr="007B6D18" w14:paraId="7DDB771C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FE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CF3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nematerijalna proizvedena imovina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8F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9B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44.275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D9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79.750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2CD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180,1</w:t>
            </w:r>
          </w:p>
        </w:tc>
      </w:tr>
      <w:tr w:rsidR="00ED15E6" w:rsidRPr="007B6D18" w14:paraId="2122C9E1" w14:textId="77777777" w:rsidTr="00173DAE">
        <w:trPr>
          <w:trHeight w:val="115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F0F16B4" w14:textId="77777777" w:rsidR="00ED15E6" w:rsidRPr="007B6D18" w:rsidRDefault="00ED15E6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0F404E" w14:textId="2D412FEB" w:rsidR="00ED15E6" w:rsidRPr="007B6D18" w:rsidRDefault="00ED15E6" w:rsidP="00ED15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AOP389 </w:t>
            </w:r>
            <w:r w:rsidR="00B17A3B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17A3B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ostale nematerijalne proizvedene imovine viši su za 80,1% u odnosu na prošlu godinu a odnose se na </w:t>
            </w:r>
            <w:r w:rsidR="00B17A3B" w:rsidRPr="00173D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izradu</w:t>
            </w:r>
            <w:r w:rsidR="00B17A3B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projekta pregradnje i uređenja dijela prizemlja upravne zgrade u iznosu od 40.750kn i projekta nadogradnje i zamjene postojećeg sigurnosnog sustava videonadzora u bolničkom krugu u iznosu od 18.750kn</w:t>
            </w:r>
            <w:r w:rsidR="00173D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 ostale projekte u iznosu od 20.250kn</w:t>
            </w:r>
          </w:p>
        </w:tc>
      </w:tr>
      <w:tr w:rsidR="000221F1" w:rsidRPr="007B6D18" w14:paraId="2F9A0CF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5D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8F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dodatna ulaganja na nefinancijskoj imovini (AOP 397 do 400)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CE4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12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8.957.528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FC9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2.807.060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02C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31,3</w:t>
            </w:r>
          </w:p>
        </w:tc>
      </w:tr>
      <w:tr w:rsidR="000221F1" w:rsidRPr="007B6D18" w14:paraId="7DA24A0E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1F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D8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2D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DA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8.957.528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F0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2.755.103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69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30,8</w:t>
            </w:r>
          </w:p>
        </w:tc>
      </w:tr>
      <w:tr w:rsidR="000B49BB" w:rsidRPr="007B6D18" w14:paraId="531CB65D" w14:textId="77777777" w:rsidTr="00173DAE">
        <w:trPr>
          <w:trHeight w:val="159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D6FF267" w14:textId="77777777" w:rsidR="000B49BB" w:rsidRPr="007B6D18" w:rsidRDefault="000B49BB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A4033A" w14:textId="7736F719" w:rsidR="000B49BB" w:rsidRPr="007B6D18" w:rsidRDefault="000B49BB" w:rsidP="000B4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AOP397 </w:t>
            </w:r>
            <w:r w:rsidR="004D3A20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4D3A20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 poziciji dodatnih ulaganja na građevinskim objektima je prema planu realizirano ulaganje u izgradnju </w:t>
            </w:r>
            <w:r w:rsidR="003D670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suhe tople veze za funkcionalno povezivanje paviljona A i B gdje ukupan iznos građevinskih radova, stručnog nadzora i vezanih troškova iznosi 2.452.619kn</w:t>
            </w:r>
            <w:r w:rsidR="006E3B5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zatim ulaganje u sanaciju tla parkirališta u iznosu od </w:t>
            </w:r>
            <w:r w:rsidR="0068656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90.998</w:t>
            </w:r>
            <w:r w:rsidR="006E3B5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kn, uređenje pristupnog puta </w:t>
            </w:r>
            <w:r w:rsidR="00E979C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paviljonima A i B </w:t>
            </w:r>
            <w:r w:rsidR="006E3B5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iznosu od 54.721kn, izgradnj</w:t>
            </w:r>
            <w:r w:rsidR="00E979C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6E3B5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stepeništa prema pristupnom putu 55.334kn </w:t>
            </w:r>
            <w:r w:rsidR="0068656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 ostala manja ulaganja u ukupnom iznosu od </w:t>
            </w:r>
            <w:r w:rsidR="00173DAE" w:rsidRPr="00173D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</w:t>
            </w:r>
            <w:r w:rsidR="00173D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="00173DAE" w:rsidRPr="00173D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431</w:t>
            </w:r>
            <w:r w:rsidR="00173D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</w:t>
            </w:r>
          </w:p>
        </w:tc>
      </w:tr>
      <w:tr w:rsidR="000221F1" w:rsidRPr="007B6D18" w14:paraId="0731401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00A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9D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postrojenjima i opremi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00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FB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5E1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51.957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27F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B49BB" w:rsidRPr="007B6D18" w14:paraId="5CF31DDC" w14:textId="77777777" w:rsidTr="006435AC">
        <w:trPr>
          <w:trHeight w:val="73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77C487" w14:textId="77777777" w:rsidR="000B49BB" w:rsidRPr="007B6D18" w:rsidRDefault="000B49BB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FC2A64" w14:textId="69E3BF59" w:rsidR="000B49BB" w:rsidRPr="007B6D18" w:rsidRDefault="006435AC" w:rsidP="000B4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AOP398 – Rashodi za dodatna ulaganja na postrojenjima i opremi se u iznosu od 51.957kn odnose na nabavu i ugradnju upravljačkog modula za automatsku regulaciju rada kotlovnice</w:t>
            </w:r>
          </w:p>
        </w:tc>
      </w:tr>
      <w:tr w:rsidR="000221F1" w:rsidRPr="007B6D18" w14:paraId="0F5EAC6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4F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AE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prodaje nefinancijske imovine - nenaplaćeni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9AA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039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643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7FE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32,4</w:t>
            </w:r>
          </w:p>
        </w:tc>
      </w:tr>
      <w:tr w:rsidR="004B1D50" w:rsidRPr="007B6D18" w14:paraId="7D0A2753" w14:textId="77777777" w:rsidTr="004B1D50">
        <w:trPr>
          <w:trHeight w:val="62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6217B54" w14:textId="77777777" w:rsidR="004B1D50" w:rsidRPr="007B6D18" w:rsidRDefault="004B1D50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FEC64C" w14:textId="4E1D0B07" w:rsidR="004B1D50" w:rsidRPr="007B6D18" w:rsidRDefault="004B1D50" w:rsidP="004B1D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AOP405 – Redovitim otplatama obveza za stanove smanjilo se potraživanje te će tijekom 2022. godine biti otplaćen i posljednji stan</w:t>
            </w:r>
          </w:p>
        </w:tc>
      </w:tr>
      <w:tr w:rsidR="000221F1" w:rsidRPr="007B6D18" w14:paraId="1BE68E5D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49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99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 I PRIMICI (AOP 406+413)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A05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2F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56.075.861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3CB5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55.789.011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07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99,5</w:t>
            </w:r>
          </w:p>
        </w:tc>
      </w:tr>
      <w:tr w:rsidR="000221F1" w:rsidRPr="007B6D18" w14:paraId="67D824F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40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7E6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I IZDACI (AOP 407+521)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9E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8EE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58.089.653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C3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54.535.180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8D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93,9</w:t>
            </w:r>
          </w:p>
        </w:tc>
      </w:tr>
      <w:tr w:rsidR="000221F1" w:rsidRPr="007B6D18" w14:paraId="7645303C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F0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12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(AOP 632-633)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D10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32F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0E9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1.253.831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B7C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221F1" w:rsidRPr="007B6D18" w14:paraId="726C4C3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554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25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(AOP 633-632)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FD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BE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2.013.792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D07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ECC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0221F1" w:rsidRPr="007B6D18" w14:paraId="7C12E602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A85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9221-9222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4E7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- preneseni (AOP 410-411+630-631)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3D3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B37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5.233.369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841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3.219.578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87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61,5</w:t>
            </w:r>
          </w:p>
        </w:tc>
      </w:tr>
      <w:tr w:rsidR="000221F1" w:rsidRPr="007B6D18" w14:paraId="16E33479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C29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9222-9221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5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- preneseni (AOP 411-410+631-630)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7918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40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6C6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79B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221F1" w:rsidRPr="007B6D18" w14:paraId="33CBFF2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02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8D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raspoloživ u sljedećem razdoblju (AOP 634+636-635-637)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532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7CA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3.219.577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726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4.473.409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9BB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138,9</w:t>
            </w:r>
          </w:p>
        </w:tc>
      </w:tr>
      <w:tr w:rsidR="000221F1" w:rsidRPr="007B6D18" w14:paraId="7017113B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FA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75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za pokriće u sljedećem razdoblju (AOP 635+637-634-636)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5FD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452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A96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7B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435AC" w:rsidRPr="007B6D18" w14:paraId="45091972" w14:textId="77777777" w:rsidTr="00A87D66">
        <w:trPr>
          <w:trHeight w:val="992"/>
        </w:trPr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CFA25" w14:textId="77033B3F" w:rsidR="006435AC" w:rsidRPr="007B6D18" w:rsidRDefault="006435AC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7F345F" w14:textId="167AA143" w:rsidR="006435AC" w:rsidRPr="007B6D18" w:rsidRDefault="006435AC" w:rsidP="00643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AOP632-639 – U razdoblju siječanj-prosinac 2021. godine ostvaren je viš</w:t>
            </w:r>
            <w:r w:rsidR="003D670C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 prihoda i primitaka u iznosu od 1.253.831kn te proizlazi viš</w:t>
            </w:r>
            <w:r w:rsidR="006E3B54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 prihoda i primitaka raspoloživ u sljedećem razdoblju u iznosu od 4.473.409kn</w:t>
            </w:r>
            <w:r w:rsidR="00E979C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što će </w:t>
            </w:r>
            <w:r w:rsidR="00A87D6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veljači </w:t>
            </w:r>
            <w:r w:rsidR="00E979C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2022. godine biti namjenski raspoređeno za nastavak nedovršenih radova i nabava na prijelazu godine</w:t>
            </w:r>
            <w:r w:rsidR="00A87D6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979C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odlukom o rasporedu prenesenog viška</w:t>
            </w:r>
          </w:p>
        </w:tc>
      </w:tr>
      <w:tr w:rsidR="000221F1" w:rsidRPr="007B6D18" w14:paraId="72C88506" w14:textId="77777777" w:rsidTr="00DA4345">
        <w:trPr>
          <w:trHeight w:val="30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220AB3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Obvezni analitički podaci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1382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D4738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600A6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F7B285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</w:tr>
      <w:tr w:rsidR="000221F1" w:rsidRPr="007B6D18" w14:paraId="2990A0C8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01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47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ED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17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8.124.885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FF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8.114.127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EAD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99,9</w:t>
            </w:r>
          </w:p>
        </w:tc>
      </w:tr>
      <w:tr w:rsidR="000221F1" w:rsidRPr="007B6D18" w14:paraId="766E1B3A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35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7B6D1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DE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27A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71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56.083.803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70F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55.791.294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D3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99,5</w:t>
            </w:r>
          </w:p>
        </w:tc>
      </w:tr>
      <w:tr w:rsidR="000221F1" w:rsidRPr="007B6D18" w14:paraId="048EE67B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70C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7B6D1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C9E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28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72D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56.094.561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65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57.002.246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46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101,6</w:t>
            </w:r>
          </w:p>
        </w:tc>
      </w:tr>
      <w:tr w:rsidR="000221F1" w:rsidRPr="007B6D18" w14:paraId="3F1E9DE7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CF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07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(AOP 641+642-643)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D71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6F1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8.114.127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52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6.903.175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283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85,1</w:t>
            </w:r>
          </w:p>
        </w:tc>
      </w:tr>
      <w:tr w:rsidR="00A87D66" w:rsidRPr="007B6D18" w14:paraId="21C41133" w14:textId="77777777" w:rsidTr="00A87D66">
        <w:trPr>
          <w:trHeight w:val="64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77CD0DE" w14:textId="77777777" w:rsidR="00A87D66" w:rsidRPr="007B6D18" w:rsidRDefault="00A87D66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53DFF7" w14:textId="18297846" w:rsidR="00A87D66" w:rsidRPr="007B6D18" w:rsidRDefault="00A87D66" w:rsidP="00A87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AOP644 – Stanje novčanih sredstava na kraju izvještajnog razdoblja niže je za 14,9% u odnosu na isti dan prošle godine</w:t>
            </w:r>
          </w:p>
        </w:tc>
      </w:tr>
      <w:tr w:rsidR="000221F1" w:rsidRPr="007B6D18" w14:paraId="7C06CD77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A8E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3C5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pomoći od HZMO-a, HZZ-a i HZZO-a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94D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34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3A5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168.061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190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A25E6E" w:rsidRPr="007B6D18" w14:paraId="09654DFF" w14:textId="77777777" w:rsidTr="00BC305E">
        <w:trPr>
          <w:trHeight w:val="57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A20EEE9" w14:textId="77777777" w:rsidR="00A25E6E" w:rsidRPr="007B6D18" w:rsidRDefault="00A25E6E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8EA67" w14:textId="2574701F" w:rsidR="00A25E6E" w:rsidRPr="007B6D18" w:rsidRDefault="00A25E6E" w:rsidP="00A25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AOP661 - Prihodi se odnose na pomoći HZZZ-a za financiranje plaća i doprinosa pripravnika</w:t>
            </w:r>
          </w:p>
        </w:tc>
      </w:tr>
      <w:tr w:rsidR="000221F1" w:rsidRPr="007B6D18" w14:paraId="3CDDF8C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3B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220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državnog proračuna proračunskim korisnicima proračuna JLP(R)S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56DC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A7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2.846.227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67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3.113.994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D68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109,4</w:t>
            </w:r>
          </w:p>
        </w:tc>
      </w:tr>
      <w:tr w:rsidR="00A25E6E" w:rsidRPr="007B6D18" w14:paraId="1541A613" w14:textId="77777777" w:rsidTr="00A25E6E">
        <w:trPr>
          <w:trHeight w:val="566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AAA7F70" w14:textId="77777777" w:rsidR="00A25E6E" w:rsidRPr="007B6D18" w:rsidRDefault="00A25E6E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3A43A3" w14:textId="439D5824" w:rsidR="00A25E6E" w:rsidRPr="007B6D18" w:rsidRDefault="00A25E6E" w:rsidP="00A25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AOP667 - Prihodi se odnose na pomoći Ministarstva zdrav</w:t>
            </w:r>
            <w:r w:rsidR="00BC305E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stva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smještaj i prehranu forenzičkih bolesnika prema ugovoru. </w:t>
            </w:r>
          </w:p>
        </w:tc>
      </w:tr>
      <w:tr w:rsidR="000221F1" w:rsidRPr="007B6D18" w14:paraId="048EDE4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E8F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18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iz proračuna JLP(R)S koji im nije nadležan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543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EC6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191.678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2F5E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FDF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</w:t>
            </w:r>
          </w:p>
        </w:tc>
      </w:tr>
      <w:tr w:rsidR="00BC305E" w:rsidRPr="007B6D18" w14:paraId="1A2DBA68" w14:textId="77777777" w:rsidTr="00BC305E">
        <w:trPr>
          <w:trHeight w:val="69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A5BD53" w14:textId="77777777" w:rsidR="00BC305E" w:rsidRPr="007B6D18" w:rsidRDefault="00BC305E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6426B5" w14:textId="6F6ED249" w:rsidR="00BC305E" w:rsidRPr="0031461D" w:rsidRDefault="00BC305E" w:rsidP="00BC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46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AOP668 – Odnosi se na prihode iz proračuna Grada Raba za sufinanciranje stanovanja logopeda prema ugovoru</w:t>
            </w:r>
          </w:p>
        </w:tc>
      </w:tr>
      <w:tr w:rsidR="000221F1" w:rsidRPr="007B6D18" w14:paraId="1235963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5D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63814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E32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izvanproračunskog korisnika temeljem prijenosa EU sredstava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C66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03A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D50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183.371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363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82DE2" w:rsidRPr="007B6D18" w14:paraId="5C5064CE" w14:textId="77777777" w:rsidTr="00382DE2">
        <w:trPr>
          <w:trHeight w:val="5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7C8FC4D" w14:textId="77777777" w:rsidR="00382DE2" w:rsidRPr="007B6D18" w:rsidRDefault="00382DE2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E8CEBF" w14:textId="23FE88B8" w:rsidR="00382DE2" w:rsidRPr="007B6D18" w:rsidRDefault="00382DE2" w:rsidP="00382D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AOP689 - Prihodi se odnose na pomoći HZZZ-a za financiranje plaća i doprinosa pripravnika</w:t>
            </w:r>
          </w:p>
        </w:tc>
      </w:tr>
      <w:tr w:rsidR="000221F1" w:rsidRPr="007B6D18" w14:paraId="664D886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AD4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EA8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s naslova osiguranja, refundacije štete i totalne štete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9E1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951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144.119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007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63.439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C54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</w:t>
            </w:r>
          </w:p>
        </w:tc>
      </w:tr>
      <w:tr w:rsidR="00382DE2" w:rsidRPr="007B6D18" w14:paraId="31179038" w14:textId="77777777" w:rsidTr="00382DE2">
        <w:trPr>
          <w:trHeight w:val="69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D523244" w14:textId="77777777" w:rsidR="00382DE2" w:rsidRPr="007B6D18" w:rsidRDefault="00382DE2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75DFCD" w14:textId="7650CD12" w:rsidR="00382DE2" w:rsidRPr="007B6D18" w:rsidRDefault="00382DE2" w:rsidP="00382D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AOP704 – Prihodi s naslova osiguranja, refundacije štete i totalne štete ostvareni su 66% niži u odnosu na prošlu godinu a vezani su uz prijave i likvidaciju šteta za popravak osiguranih objekata, opreme i prijevoznih sredstava</w:t>
            </w:r>
          </w:p>
        </w:tc>
      </w:tr>
      <w:tr w:rsidR="000221F1" w:rsidRPr="007B6D18" w14:paraId="6D969734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0A9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31214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ADCB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Otpremnine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FBA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E6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28.840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D9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73.589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60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255,2</w:t>
            </w:r>
          </w:p>
        </w:tc>
      </w:tr>
      <w:tr w:rsidR="00382DE2" w:rsidRPr="007B6D18" w14:paraId="5FA8990B" w14:textId="77777777" w:rsidTr="00702A22">
        <w:trPr>
          <w:trHeight w:val="59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B0015A0" w14:textId="77777777" w:rsidR="00382DE2" w:rsidRPr="007B6D18" w:rsidRDefault="00382DE2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7D295C" w14:textId="274577C8" w:rsidR="00382DE2" w:rsidRPr="007B6D18" w:rsidRDefault="00382DE2" w:rsidP="00382D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AOP708 </w:t>
            </w:r>
            <w:r w:rsidR="00702A2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02A2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otpremnine ostvareni su 155,2% viši a vezani su uz isplatu otpremnina </w:t>
            </w:r>
            <w:r w:rsidR="00C86D7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6 djelatnika </w:t>
            </w:r>
            <w:r w:rsidR="00702A22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kolektivnog ugovora zbog odlaska u mirovinu </w:t>
            </w:r>
          </w:p>
        </w:tc>
      </w:tr>
      <w:tr w:rsidR="000221F1" w:rsidRPr="007B6D18" w14:paraId="3EEE7E3F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38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31215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CDC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bolest, invalidnost i smrtni slučaj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D4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FD12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5F4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88.103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DC6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79,8</w:t>
            </w:r>
          </w:p>
        </w:tc>
      </w:tr>
      <w:tr w:rsidR="00702A22" w:rsidRPr="007B6D18" w14:paraId="047E744E" w14:textId="77777777" w:rsidTr="00702A22">
        <w:trPr>
          <w:trHeight w:val="73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F0756AD" w14:textId="77777777" w:rsidR="00702A22" w:rsidRPr="007B6D18" w:rsidRDefault="00702A22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6D4861" w14:textId="4E325F5A" w:rsidR="00702A22" w:rsidRPr="007B6D18" w:rsidRDefault="00702A22" w:rsidP="00702A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AOP709 – Na poziciji naknada za bolest, invalidnost i smrtni slučaj ostvarenje je 20,2% niže zbog manjih dugotrajnih a većeg broja kratkotrajnih bolovanja gdje je trošak na teret poslodavca </w:t>
            </w:r>
          </w:p>
        </w:tc>
      </w:tr>
      <w:tr w:rsidR="000221F1" w:rsidRPr="007B6D18" w14:paraId="7B47D6A6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250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93A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Autorski honorari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875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7CB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78.259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538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39.435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AFD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50,4</w:t>
            </w:r>
          </w:p>
        </w:tc>
      </w:tr>
      <w:tr w:rsidR="00C86D73" w:rsidRPr="007B6D18" w14:paraId="1DD0F8B0" w14:textId="77777777" w:rsidTr="00B35BE8">
        <w:trPr>
          <w:trHeight w:val="8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DD4428C" w14:textId="77777777" w:rsidR="00C86D73" w:rsidRPr="007B6D18" w:rsidRDefault="00C86D73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9E452F" w14:textId="55854923" w:rsidR="00C86D73" w:rsidRPr="007B6D18" w:rsidRDefault="00C86D73" w:rsidP="00C86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AOP713 – Rashodi za autorske honorare niži su za 49,6% u odnosu na prošlu godinu a odnose se na isplate istih za edukacije i stručno usavršavanje zdravstvenih djelatnika te isplatu </w:t>
            </w:r>
            <w:r w:rsidR="00B35BE8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autorskog honorara za izradu novog logotipa bolnice temeljem javnog natječaja</w:t>
            </w:r>
          </w:p>
        </w:tc>
      </w:tr>
      <w:tr w:rsidR="000221F1" w:rsidRPr="007B6D18" w14:paraId="5942DF55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9F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AF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Ugovori o djelu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7F5B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B8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118.921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53BA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131.917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E8C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110,9</w:t>
            </w:r>
          </w:p>
        </w:tc>
      </w:tr>
      <w:tr w:rsidR="00B35BE8" w:rsidRPr="007B6D18" w14:paraId="112785ED" w14:textId="77777777" w:rsidTr="00EF251F">
        <w:trPr>
          <w:trHeight w:val="73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4CA780" w14:textId="77777777" w:rsidR="00B35BE8" w:rsidRPr="007B6D18" w:rsidRDefault="00B35BE8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BD3859" w14:textId="59CF5038" w:rsidR="00B35BE8" w:rsidRPr="007B6D18" w:rsidRDefault="00B35BE8" w:rsidP="00B35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AOP714 – Na poziciji ugovora o djelu ostvarenje je 10,9% </w:t>
            </w:r>
            <w:r w:rsidR="00EF251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više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odnosu na prošlu godinu a odnose se na ugovore za vanjske stručne suradnike: specijalista fizijatra, specijalista neurologije</w:t>
            </w:r>
            <w:r w:rsidR="00EF251F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stomatologa </w:t>
            </w:r>
          </w:p>
        </w:tc>
      </w:tr>
      <w:tr w:rsidR="000221F1" w:rsidRPr="007B6D18" w14:paraId="6AE507D0" w14:textId="77777777" w:rsidTr="00DA434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811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32377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BC5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agencija, studentskog servisa (prijepisi, prijevodi i drugo)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CBF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17BC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3CD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A46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115,2</w:t>
            </w:r>
          </w:p>
        </w:tc>
      </w:tr>
      <w:tr w:rsidR="00EF251F" w:rsidRPr="007B6D18" w14:paraId="5896EB44" w14:textId="77777777" w:rsidTr="000530D7">
        <w:trPr>
          <w:trHeight w:val="69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70C5717" w14:textId="77777777" w:rsidR="00EF251F" w:rsidRPr="007B6D18" w:rsidRDefault="00EF251F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F13BFC" w14:textId="5091D4CB" w:rsidR="00EF251F" w:rsidRPr="007B6D18" w:rsidRDefault="00EF251F" w:rsidP="00EF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AOP715 – </w:t>
            </w:r>
            <w:r w:rsidR="000530D7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Ostvareni iznos odnosi se na usluge studentskog servisa preko kojega je sezonski bila zaposlena jedna medicinska sestra</w:t>
            </w:r>
          </w:p>
        </w:tc>
      </w:tr>
      <w:tr w:rsidR="000221F1" w:rsidRPr="007B6D18" w14:paraId="4C1832F2" w14:textId="77777777" w:rsidTr="002F0EB5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506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</w:t>
            </w:r>
          </w:p>
        </w:tc>
        <w:tc>
          <w:tcPr>
            <w:tcW w:w="25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3F1D" w14:textId="77777777" w:rsidR="004D6CE4" w:rsidRPr="007B6D18" w:rsidRDefault="004D6CE4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Stipendije i školarine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349E" w14:textId="77777777" w:rsidR="004D6CE4" w:rsidRPr="007B6D18" w:rsidRDefault="004D6CE4" w:rsidP="004D6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811</w:t>
            </w:r>
          </w:p>
        </w:tc>
        <w:tc>
          <w:tcPr>
            <w:tcW w:w="6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F9F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105.299</w:t>
            </w:r>
          </w:p>
        </w:tc>
        <w:tc>
          <w:tcPr>
            <w:tcW w:w="6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1A9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79.149</w:t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4B08" w14:textId="77777777" w:rsidR="004D6CE4" w:rsidRPr="007B6D18" w:rsidRDefault="004D6CE4" w:rsidP="004D6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75,2</w:t>
            </w:r>
          </w:p>
        </w:tc>
      </w:tr>
      <w:tr w:rsidR="000530D7" w:rsidRPr="007B6D18" w14:paraId="02CAE812" w14:textId="77777777" w:rsidTr="002F0EB5">
        <w:trPr>
          <w:trHeight w:val="8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4B54083" w14:textId="77777777" w:rsidR="000530D7" w:rsidRPr="007B6D18" w:rsidRDefault="000530D7" w:rsidP="004D6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28" w:type="pct"/>
            <w:gridSpan w:val="5"/>
            <w:tcBorders>
              <w:top w:val="dotted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1CFAB6" w14:textId="5EAAB95A" w:rsidR="000530D7" w:rsidRPr="007B6D18" w:rsidRDefault="000530D7" w:rsidP="00053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AOP811 – Rashodi stipendije i školarine ostvareni su 24,8% niži najvećim dijelom nižim rashodima za stipendije učenika srednje medicinske škole gdje su polovicom 2021. godine školovanje završili 6 učenika stipendista</w:t>
            </w:r>
          </w:p>
        </w:tc>
      </w:tr>
    </w:tbl>
    <w:p w14:paraId="0FB449B4" w14:textId="2815458D" w:rsidR="004D6CE4" w:rsidRPr="007B6D18" w:rsidRDefault="004D6CE4" w:rsidP="004D6CE4">
      <w:pPr>
        <w:ind w:right="1"/>
        <w:rPr>
          <w:rFonts w:ascii="Arial" w:hAnsi="Arial" w:cs="Arial"/>
        </w:rPr>
      </w:pPr>
    </w:p>
    <w:p w14:paraId="5319EBFE" w14:textId="247F4AD6" w:rsidR="00D84BD4" w:rsidRPr="007B6D18" w:rsidRDefault="00D84BD4" w:rsidP="004D6CE4">
      <w:pPr>
        <w:ind w:right="1"/>
        <w:rPr>
          <w:rFonts w:ascii="Arial" w:hAnsi="Arial" w:cs="Arial"/>
        </w:rPr>
      </w:pPr>
    </w:p>
    <w:p w14:paraId="11A52A6E" w14:textId="3B6B718D" w:rsidR="00D84BD4" w:rsidRPr="00F5300E" w:rsidRDefault="000F54E6" w:rsidP="000F54E6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t>BILANCA NA DAN 31.12.2021.</w:t>
      </w:r>
    </w:p>
    <w:p w14:paraId="5CA2829B" w14:textId="18F587F2" w:rsidR="007E6933" w:rsidRPr="007B6D18" w:rsidRDefault="007E6933" w:rsidP="004D6CE4">
      <w:pPr>
        <w:ind w:right="1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7"/>
        <w:gridCol w:w="4897"/>
        <w:gridCol w:w="709"/>
        <w:gridCol w:w="1277"/>
        <w:gridCol w:w="1163"/>
        <w:gridCol w:w="817"/>
      </w:tblGrid>
      <w:tr w:rsidR="007E6933" w:rsidRPr="007B6D18" w14:paraId="48937663" w14:textId="77777777" w:rsidTr="007E6933">
        <w:trPr>
          <w:trHeight w:val="499"/>
        </w:trPr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2FC46537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 xml:space="preserve">Račun iz </w:t>
            </w:r>
            <w:proofErr w:type="spellStart"/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rač</w:t>
            </w:r>
            <w:proofErr w:type="spellEnd"/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. plana</w:t>
            </w:r>
          </w:p>
        </w:tc>
        <w:tc>
          <w:tcPr>
            <w:tcW w:w="2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1C6BB4BE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Opis stavke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6B01949E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AOP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36AF690F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Stanje na početku razdoblja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025E4170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Stanje na kraju razdoblja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7501291F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Indeks</w:t>
            </w: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br/>
              <w:t>(5/4)</w:t>
            </w:r>
          </w:p>
        </w:tc>
      </w:tr>
      <w:tr w:rsidR="007E6933" w:rsidRPr="007B6D18" w14:paraId="2910BA24" w14:textId="77777777" w:rsidTr="007E6933">
        <w:trPr>
          <w:trHeight w:val="240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5C318290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2543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726ABCE7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03DDEE05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7400F248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635BA466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DBEBACA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6</w:t>
            </w:r>
          </w:p>
        </w:tc>
      </w:tr>
      <w:tr w:rsidR="007E6933" w:rsidRPr="007B6D18" w14:paraId="7C9604C2" w14:textId="77777777" w:rsidTr="007E6933">
        <w:trPr>
          <w:trHeight w:val="255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B9F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3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009F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IMOVINA (AOP 002+063)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81D8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001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212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32.002.494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3DB7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27.252.799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74F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85,2</w:t>
            </w:r>
          </w:p>
        </w:tc>
      </w:tr>
      <w:tr w:rsidR="007E6933" w:rsidRPr="007B6D18" w14:paraId="0E3649D6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840F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F769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Nefinancijska imovina (AOP 003+007+046+047+051+058)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4751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D5E6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22.781.988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D2D7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17.109.573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465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75,1</w:t>
            </w:r>
          </w:p>
        </w:tc>
      </w:tr>
      <w:tr w:rsidR="007E6933" w:rsidRPr="007B6D18" w14:paraId="730172FF" w14:textId="77777777" w:rsidTr="007E6933">
        <w:trPr>
          <w:trHeight w:val="134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3BB475F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ADDCEE" w14:textId="2C5DA7E3" w:rsidR="007E6933" w:rsidRPr="007B6D18" w:rsidRDefault="0031461D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AOP002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Tijekom 2021. godine   temeljem plana nabave  nastavilo se sa zanavljanjem potrebne opreme i ulaganja   za nesmetano obavljanje kako medicinskih tako i nemedicinskih poslovnih procesa. Međutim obzirom da  je završeno značajno  kapitalno ulaganje  u građevinski objekt - adaptacija  paviljona B, koji je  stavljen u funkciju  i time  isknjiženo ulaganje iz bilančne  evidencije  Psihijatrijske bolnice Rab i prebačeno u  vlasništvo Primorsko goranske županije, stanje na kraju 2021. godine na ovoj bilančnoj poziciji  je znatno manje.</w:t>
            </w:r>
          </w:p>
        </w:tc>
      </w:tr>
      <w:tr w:rsidR="007E6933" w:rsidRPr="007B6D18" w14:paraId="64BF7F01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5AD6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025 i 02925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84B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Višegodišnji nasadi i osnovno stado (AOP 037+038-039)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D9BC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F42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24.537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B43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21.307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99D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86,8</w:t>
            </w:r>
          </w:p>
        </w:tc>
      </w:tr>
      <w:tr w:rsidR="007E6933" w:rsidRPr="007B6D18" w14:paraId="358A853F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488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0251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D329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Višegodišnji nasadi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9241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909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98.571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EDE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52.016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E38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52,8</w:t>
            </w:r>
          </w:p>
        </w:tc>
      </w:tr>
      <w:tr w:rsidR="007E6933" w:rsidRPr="007B6D18" w14:paraId="1F3124C7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8061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02925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CF7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Ispravak vrijednosti višegodišnjih nasada i osnovnog stada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29D3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039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3C3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74.034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35D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30.709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537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41,5</w:t>
            </w:r>
          </w:p>
        </w:tc>
      </w:tr>
      <w:tr w:rsidR="007E6933" w:rsidRPr="007B6D18" w14:paraId="0358C77F" w14:textId="77777777" w:rsidTr="007E6933">
        <w:trPr>
          <w:trHeight w:val="63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B5CA0AA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B8C6057" w14:textId="224AD86E" w:rsidR="007E6933" w:rsidRPr="007B6D18" w:rsidRDefault="009E5DF9" w:rsidP="007A09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 xml:space="preserve">AOP036-039 – </w:t>
            </w:r>
            <w:r w:rsidR="007E6933" w:rsidRPr="007B6D18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>Smanjenje vrijednosti višegodišnjeg nasada odnosi se na provedeni otpis uginulih stabljika lavande i maslina.</w:t>
            </w:r>
          </w:p>
        </w:tc>
      </w:tr>
      <w:tr w:rsidR="007E6933" w:rsidRPr="007B6D18" w14:paraId="2189F780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5C21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2ED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nefinancijska imovina u pripremi (AOP 052 do 057)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A135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437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16.219.707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5A6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10.706.493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3A8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66,0</w:t>
            </w:r>
          </w:p>
        </w:tc>
      </w:tr>
      <w:tr w:rsidR="007E6933" w:rsidRPr="007B6D18" w14:paraId="7B6C164C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A96A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1F0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 u pripremi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0904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9E2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16.219.707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B40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10.706.493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42EC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66,0</w:t>
            </w:r>
          </w:p>
        </w:tc>
      </w:tr>
      <w:tr w:rsidR="007E6933" w:rsidRPr="007B6D18" w14:paraId="55B1C17B" w14:textId="77777777" w:rsidTr="005B795E">
        <w:trPr>
          <w:trHeight w:val="959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CA0552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DEF703E" w14:textId="2C053F55" w:rsidR="007E6933" w:rsidRPr="007B6D18" w:rsidRDefault="009E5DF9" w:rsidP="007A09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 xml:space="preserve">AOP0051-052 – </w:t>
            </w:r>
            <w:r w:rsidR="007E6933" w:rsidRPr="007B6D18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 xml:space="preserve">U ožujku 2021. godine  paviljon B je stavljen u upotrebu te je višegodišnje ulaganje u  pripremi  preneseno u poslovne knjige  Primorsko goranskoj županije  kao našeg vlasnika. Također je izvršen i prijenos  završenih  ulaganja koja su započeta u  prošloj godini : sigurnosna rasvjeta </w:t>
            </w:r>
            <w:r w:rsidR="005B795E" w:rsidRPr="007B6D18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>trjemova</w:t>
            </w:r>
            <w:r w:rsidR="007E6933" w:rsidRPr="007B6D18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>,</w:t>
            </w:r>
            <w:r w:rsidR="005B795E" w:rsidRPr="007B6D18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 xml:space="preserve"> </w:t>
            </w:r>
            <w:r w:rsidR="007E6933" w:rsidRPr="007B6D18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  <w:t>sanacija tla sa drenažom uz paviljon B, izrada stepeništa, nova niskonaponska mreža itd.</w:t>
            </w:r>
          </w:p>
        </w:tc>
      </w:tr>
      <w:tr w:rsidR="007E6933" w:rsidRPr="007B6D18" w14:paraId="7221137C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660D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B673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kratkotrajna imovina (AOP 059 do 062)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1653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058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18A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1.144.004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FEA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1.677.639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2E67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146,6</w:t>
            </w:r>
          </w:p>
        </w:tc>
      </w:tr>
      <w:tr w:rsidR="007E6933" w:rsidRPr="007B6D18" w14:paraId="4993B46D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75BA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061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602C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Zalihe za obavljanje djelatnosti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5EB6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059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471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1.144.004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B7BC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1.677.639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8F9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146,6</w:t>
            </w:r>
          </w:p>
        </w:tc>
      </w:tr>
      <w:tr w:rsidR="007E6933" w:rsidRPr="007B6D18" w14:paraId="5EDF2F7D" w14:textId="77777777" w:rsidTr="005B795E">
        <w:trPr>
          <w:trHeight w:val="88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27D9D41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06906A" w14:textId="1FFE8496" w:rsidR="007E6933" w:rsidRPr="007B6D18" w:rsidRDefault="00B04B0B" w:rsidP="007A09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AOP058-059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Zalihe lijekova i potrošnog medicinskog materija osobito sanitetskog i materijala za dezinfekciju  su značajno veće radi opće</w:t>
            </w:r>
            <w:r w:rsidR="00471623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poznate situacije Covid pandemije. Ostale zalihe kao zalihe hrane, goriva, uredske i druge su u optimalnim  vrijednostima i prate potrebe poslovnih i bolničkih procesa.</w:t>
            </w:r>
          </w:p>
        </w:tc>
      </w:tr>
      <w:tr w:rsidR="007E6933" w:rsidRPr="007B6D18" w14:paraId="2F06398F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CF5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2F5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3A27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081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AA1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144.662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BF2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69.361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CE46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47,9</w:t>
            </w:r>
          </w:p>
        </w:tc>
      </w:tr>
      <w:tr w:rsidR="007E6933" w:rsidRPr="007B6D18" w14:paraId="3D6C6734" w14:textId="77777777" w:rsidTr="005B795E">
        <w:trPr>
          <w:trHeight w:val="618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CDAEC8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B0DF1F" w14:textId="6A0B77B9" w:rsidR="007E6933" w:rsidRPr="007B6D18" w:rsidRDefault="00B04B0B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AOP129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Potraživanja za bolovanja na teret fonda  tijekom 2021. godine su znatno manja kao i na kraju godine u odnosu na 2020.-tu godinu.</w:t>
            </w:r>
          </w:p>
        </w:tc>
      </w:tr>
      <w:tr w:rsidR="007E6933" w:rsidRPr="007B6D18" w14:paraId="48858E78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FF8D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668B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 (AOP 142 do 144 + 153 do 157-158)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9D52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0D7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941.547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23F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3.164.024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61C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336,0</w:t>
            </w:r>
          </w:p>
        </w:tc>
      </w:tr>
      <w:tr w:rsidR="007E6933" w:rsidRPr="007B6D18" w14:paraId="5AC6763D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6B8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163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32DF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Potraživanja za pomoći iz inozemstva i od subjekata unutar općeg proračuna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145 do 152)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43EC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5CF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269.756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84B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251.752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31A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93,3</w:t>
            </w:r>
          </w:p>
        </w:tc>
      </w:tr>
      <w:tr w:rsidR="007E6933" w:rsidRPr="007B6D18" w14:paraId="60BD2410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EB70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E309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pomoći proračunskim korisnicima iz proračuna koji im nije nadležan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7E5A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115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269.756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38B6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251.752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77B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93,3</w:t>
            </w:r>
          </w:p>
        </w:tc>
      </w:tr>
      <w:tr w:rsidR="007E6933" w:rsidRPr="007B6D18" w14:paraId="194E3C1E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5F90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0AC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4A9C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154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261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131.661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8EB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45.045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98B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34,2</w:t>
            </w:r>
          </w:p>
        </w:tc>
      </w:tr>
      <w:tr w:rsidR="007E6933" w:rsidRPr="007B6D18" w14:paraId="770C54CE" w14:textId="77777777" w:rsidTr="005B795E">
        <w:trPr>
          <w:trHeight w:val="78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964F9E0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D3024E" w14:textId="6C5B7EF2" w:rsidR="007E6933" w:rsidRPr="007B6D18" w:rsidRDefault="00B04B0B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AOP141-154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U 2021.godini učinkovitija je naplata potraživanja od dopunskog osiguranja kao i od kliničkih bolničkih centara za troškove dežurstva naših specijalizanata koji su na kruženju u drugim ustanovama.</w:t>
            </w:r>
          </w:p>
        </w:tc>
      </w:tr>
      <w:tr w:rsidR="007E6933" w:rsidRPr="007B6D18" w14:paraId="4A139D07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674F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20EF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od prodaje proizvoda i robe te pruženih usluga i za povrat po protestiranim jamstvima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457E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155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D65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53.908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23E6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32.205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E2E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59,7</w:t>
            </w:r>
          </w:p>
        </w:tc>
      </w:tr>
      <w:tr w:rsidR="00AB2D2A" w:rsidRPr="007B6D18" w14:paraId="75621278" w14:textId="77777777" w:rsidTr="00640C40">
        <w:trPr>
          <w:trHeight w:val="87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E4F3840" w14:textId="77777777" w:rsidR="00AB2D2A" w:rsidRPr="007B6D18" w:rsidRDefault="00AB2D2A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165905" w14:textId="0CE4F150" w:rsidR="00AB2D2A" w:rsidRPr="007B6D18" w:rsidRDefault="00AB2D2A" w:rsidP="00AB2D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AOP155 – </w:t>
            </w:r>
            <w:r w:rsidRPr="00AB2D2A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Potraživanja za prihode od prodaje proizvoda i robe te pruženih usluga</w:t>
            </w: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na kraju izvještajnog razdoblja manja su za 40,3% a odnose se na potraživanja za pružene medicinske usluge, zak</w:t>
            </w:r>
            <w:r w:rsidR="00640C40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pninu poslovnog prostora i ostale</w:t>
            </w:r>
            <w:r w:rsidR="00640C40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.</w:t>
            </w:r>
          </w:p>
        </w:tc>
      </w:tr>
      <w:tr w:rsidR="007E6933" w:rsidRPr="007B6D18" w14:paraId="576844CF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E3D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A831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27A7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394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491.020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9D0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2.835.222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0AE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577,4</w:t>
            </w:r>
          </w:p>
        </w:tc>
      </w:tr>
      <w:tr w:rsidR="007E6933" w:rsidRPr="007B6D18" w14:paraId="5D0DEC20" w14:textId="77777777" w:rsidTr="007B6D18">
        <w:trPr>
          <w:trHeight w:val="1194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624A8B1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76872EE" w14:textId="7BE38620" w:rsidR="007E6933" w:rsidRPr="007B6D18" w:rsidRDefault="00B04B0B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AOP156</w:t>
            </w:r>
            <w:r w:rsidR="00AB2D2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Ukupna potraživanja na dan 31.12.2021. temeljen ugovornih obveza sa Hrvatskim zavodom  za zdravstveno osiguranje iznose 2.622.245,06 kn i odnose se na više fakturirani iznos u odnosu na ugovoren</w:t>
            </w:r>
            <w:r w:rsidR="00640C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7E693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Ostatak potraživanja na AOP 156 odnos</w:t>
            </w:r>
            <w:r w:rsidR="00640C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7E693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se na potraživanja za </w:t>
            </w:r>
            <w:r w:rsidR="007E6933" w:rsidRPr="007B6D18">
              <w:rPr>
                <w:rFonts w:ascii="Arial" w:hAnsi="Arial" w:cs="Arial"/>
                <w:sz w:val="18"/>
                <w:szCs w:val="18"/>
              </w:rPr>
              <w:t>usluge pružene osiguranicima iz EU i ostalih zemalja.</w:t>
            </w:r>
          </w:p>
        </w:tc>
      </w:tr>
      <w:tr w:rsidR="007E6933" w:rsidRPr="007B6D18" w14:paraId="5CA9AE31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6A16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816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od prodaje nefinancijske imovine (AOP 160 do 163 - 164)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CA65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159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623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6.736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32B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2.184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724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32,4</w:t>
            </w:r>
          </w:p>
        </w:tc>
      </w:tr>
      <w:tr w:rsidR="007E6933" w:rsidRPr="007B6D18" w14:paraId="519EF213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6CE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073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od prodaje proizvedene dugotrajne imovine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F4FD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161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4FF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6.736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CB6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2.184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A34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32,4</w:t>
            </w:r>
          </w:p>
        </w:tc>
      </w:tr>
      <w:tr w:rsidR="007E6933" w:rsidRPr="007B6D18" w14:paraId="755C3908" w14:textId="77777777" w:rsidTr="00640C40">
        <w:trPr>
          <w:trHeight w:val="578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9B9927A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35286A" w14:textId="49B35145" w:rsidR="007E6933" w:rsidRPr="007B6D18" w:rsidRDefault="00640C40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AOP159-161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Smanjena su potraživanja od prodaje nefinancijske imovine temeljem redovne otplate rata za stanove.</w:t>
            </w:r>
          </w:p>
        </w:tc>
      </w:tr>
      <w:tr w:rsidR="007E6933" w:rsidRPr="007B6D18" w14:paraId="75476ED9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039B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112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I VLASTITI IZVORI (AOP 170+231)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AF5A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169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F3B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32.002.494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ECD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27.252.799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4F9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85,2</w:t>
            </w:r>
          </w:p>
        </w:tc>
      </w:tr>
      <w:tr w:rsidR="007E6933" w:rsidRPr="007B6D18" w14:paraId="1566AAC6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80BA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5031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(AOP 171+183+184+200+228)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1B81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E41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5.492.896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A04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3.474.536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72C9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63,3</w:t>
            </w:r>
          </w:p>
        </w:tc>
      </w:tr>
      <w:tr w:rsidR="007E6933" w:rsidRPr="007B6D18" w14:paraId="39142159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227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A2A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 (AOP 172 do 174 +178 do 182)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59FF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857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3.470.529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33E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3.447.500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AAB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99,3</w:t>
            </w:r>
          </w:p>
        </w:tc>
      </w:tr>
      <w:tr w:rsidR="007E6933" w:rsidRPr="007B6D18" w14:paraId="7099C672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1844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C6B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zaposlene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18EE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172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14E3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2.775.898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2BA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3.044.223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2BD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109,7</w:t>
            </w:r>
          </w:p>
        </w:tc>
      </w:tr>
      <w:tr w:rsidR="007E6933" w:rsidRPr="007B6D18" w14:paraId="1C65E8FD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007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DB94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8A63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173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FF1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643.254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CF7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353.901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137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55,0</w:t>
            </w:r>
          </w:p>
        </w:tc>
      </w:tr>
      <w:tr w:rsidR="007E6933" w:rsidRPr="007B6D18" w14:paraId="7F147DAE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B303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61CA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financijske rashode (AOP 175 do 177)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6B34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174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AE83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1.886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C4E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2.030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F91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107,6</w:t>
            </w:r>
          </w:p>
        </w:tc>
      </w:tr>
      <w:tr w:rsidR="007E6933" w:rsidRPr="007B6D18" w14:paraId="6534E80F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815C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77B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ostale financijske rashode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AAC2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177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90F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1.886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5DC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2.030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DC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107,6</w:t>
            </w:r>
          </w:p>
        </w:tc>
      </w:tr>
      <w:tr w:rsidR="007E6933" w:rsidRPr="007B6D18" w14:paraId="6FEEB397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764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015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naknade građanima i kućanstvima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635D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AAD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116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6.991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8C6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3.149,1</w:t>
            </w:r>
          </w:p>
        </w:tc>
      </w:tr>
      <w:tr w:rsidR="007E6933" w:rsidRPr="007B6D18" w14:paraId="04902862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8AD6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0BA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222A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76B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49.269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C23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40.355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78C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81,9</w:t>
            </w:r>
          </w:p>
        </w:tc>
      </w:tr>
      <w:tr w:rsidR="007E6933" w:rsidRPr="007B6D18" w14:paraId="2FFE3667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E7C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B5A0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B063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183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AA13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2.022.367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41C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27.036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C6A3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1,3</w:t>
            </w:r>
          </w:p>
        </w:tc>
      </w:tr>
      <w:tr w:rsidR="007E6933" w:rsidRPr="007B6D18" w14:paraId="7D7ED885" w14:textId="77777777" w:rsidTr="007B6D18">
        <w:trPr>
          <w:trHeight w:val="727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679E96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DFCFCE6" w14:textId="2A779C48" w:rsidR="007E6933" w:rsidRPr="007B6D18" w:rsidRDefault="00640C40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AOP170  – </w:t>
            </w:r>
            <w:r w:rsidR="007E6933" w:rsidRPr="007B6D18">
              <w:rPr>
                <w:rFonts w:ascii="Arial" w:hAnsi="Arial" w:cs="Arial"/>
                <w:sz w:val="18"/>
                <w:szCs w:val="18"/>
              </w:rPr>
              <w:t>Ukupne obveze na dan 31.12.2021. godine iznose 3.474.536 kn.  Nedospjele obveze iznose 3.471.336 kn a dospjele 3.200 kn.  Radi se o jednom računu koji je u siječnju 2022. godine već podmiren</w:t>
            </w:r>
          </w:p>
        </w:tc>
      </w:tr>
      <w:tr w:rsidR="007E6933" w:rsidRPr="007B6D18" w14:paraId="6495DCAB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65C6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0F5C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Vlastiti izvori (AOP 232 + 239 - 248 + 249 do 251)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F943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6C1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26.509.598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6AC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23.778.263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C47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89,7</w:t>
            </w:r>
          </w:p>
        </w:tc>
      </w:tr>
      <w:tr w:rsidR="007E6933" w:rsidRPr="007B6D18" w14:paraId="4B8C7394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801C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92E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Vlastiti izvori i ispravak vlastitih izvora (AOP 233-236)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94DE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C05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22.346.115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E20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16.140.066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0BE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72,2</w:t>
            </w:r>
          </w:p>
        </w:tc>
      </w:tr>
      <w:tr w:rsidR="007E6933" w:rsidRPr="007B6D18" w14:paraId="75AF9C95" w14:textId="77777777" w:rsidTr="007E6933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E17C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4163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Vlastiti izvori (AOP 234+235)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7005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4FC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22.346.115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391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16.140.066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54D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72,2</w:t>
            </w:r>
          </w:p>
        </w:tc>
      </w:tr>
      <w:tr w:rsidR="007E6933" w:rsidRPr="007B6D18" w14:paraId="0657855B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E4FB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9111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5DE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Vlastiti izvori iz proračuna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5657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234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FEE7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21.280.062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BFB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15.074.013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49C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70,8</w:t>
            </w:r>
          </w:p>
        </w:tc>
      </w:tr>
      <w:tr w:rsidR="007E6933" w:rsidRPr="007B6D18" w14:paraId="2659E52D" w14:textId="77777777" w:rsidTr="00640C40">
        <w:trPr>
          <w:trHeight w:val="125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6A3A5A9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F1727AD" w14:textId="2F4B1525" w:rsidR="007E6933" w:rsidRPr="007B6D18" w:rsidRDefault="00640C40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AOP231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Kako je već objašnjeno na AOP 052 u  2021. godini </w:t>
            </w: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novoobnovljeni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paviljon B je stavljen u funkciju te je višegodišnje ulaganje u pripremi  preneseno u poslovne knjige Primorsko goranskoj županije  kao našeg vlasnika</w:t>
            </w: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.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T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akođer </w:t>
            </w: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je izvršen prijenos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ulaganja: sigurnosna rasvjeta </w:t>
            </w:r>
            <w:r w:rsidR="005B795E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trjemova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,</w:t>
            </w:r>
            <w:r w:rsidR="005B795E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sanacija tla sa drenažom uz paviljon B, izrada stepeništa, nova niskonaponska mreža itd. te je time vrijednost imovine  smanjena.</w:t>
            </w:r>
          </w:p>
        </w:tc>
      </w:tr>
      <w:tr w:rsidR="007E6933" w:rsidRPr="007B6D18" w14:paraId="51AC82AF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B434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9112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2C5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vlastiti izvori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222D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F0C3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1.066.053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4F9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1.066.053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48A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100,0</w:t>
            </w:r>
          </w:p>
        </w:tc>
      </w:tr>
      <w:tr w:rsidR="007E6933" w:rsidRPr="007B6D18" w14:paraId="5A659568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5BDF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743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Višak/manjak prihoda (AOP 240-244)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6C00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239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05C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3.219.578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867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4.473.409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E91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138,9</w:t>
            </w:r>
          </w:p>
        </w:tc>
      </w:tr>
      <w:tr w:rsidR="007E6933" w:rsidRPr="007B6D18" w14:paraId="26B8EDB5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9B44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231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(AOP 241 do 243)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3931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C38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4.577.696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CFE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4.473.409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B8EC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97,7</w:t>
            </w:r>
          </w:p>
        </w:tc>
      </w:tr>
      <w:tr w:rsidR="007E6933" w:rsidRPr="007B6D18" w14:paraId="6FBF9739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068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57B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C5D3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E7ED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4.577.696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26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4.267.773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B7C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93,2</w:t>
            </w:r>
          </w:p>
        </w:tc>
      </w:tr>
      <w:tr w:rsidR="007E6933" w:rsidRPr="007B6D18" w14:paraId="2DF80D43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538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92212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2D26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od nefinancijske imovine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FE57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242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536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83B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205.636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C406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-</w:t>
            </w:r>
          </w:p>
        </w:tc>
      </w:tr>
      <w:tr w:rsidR="007E6933" w:rsidRPr="007B6D18" w14:paraId="51572289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8E0C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1982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(AOP 245 do 247)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5E15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F48A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1.358.118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32B7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757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0,0</w:t>
            </w:r>
          </w:p>
        </w:tc>
      </w:tr>
      <w:tr w:rsidR="007E6933" w:rsidRPr="007B6D18" w14:paraId="5BFD880B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D1B7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1B30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0C1A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246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3177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1.358.118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6AE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4DD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0,0</w:t>
            </w:r>
          </w:p>
        </w:tc>
      </w:tr>
      <w:tr w:rsidR="007E6933" w:rsidRPr="007B6D18" w14:paraId="3BC16AB1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F98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2FE4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poslovanja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3017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249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E2B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941.547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196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3.164.024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B5C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336,0</w:t>
            </w:r>
          </w:p>
        </w:tc>
      </w:tr>
      <w:tr w:rsidR="007E6933" w:rsidRPr="007B6D18" w14:paraId="79FC1B6C" w14:textId="77777777" w:rsidTr="005B795E">
        <w:trPr>
          <w:trHeight w:val="583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626CD63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9A21493" w14:textId="04201974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AOP249 -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Povećanje obračunatih prihoda poslovanja vezano je uz veću fakturiranu realizaciju bolničkih i </w:t>
            </w:r>
            <w:r w:rsidR="005B795E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SKZZ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usluga u odnosu na prošlu godinu.</w:t>
            </w:r>
          </w:p>
        </w:tc>
      </w:tr>
      <w:tr w:rsidR="007E6933" w:rsidRPr="007B6D18" w14:paraId="177E238D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FE23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60F3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prodaje nefinancijske imovine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3B1F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DCD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2.358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0ADC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764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8E7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32,4</w:t>
            </w:r>
          </w:p>
        </w:tc>
      </w:tr>
      <w:tr w:rsidR="007E6933" w:rsidRPr="007B6D18" w14:paraId="379B1577" w14:textId="77777777" w:rsidTr="005B795E">
        <w:trPr>
          <w:trHeight w:val="567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D2688ED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5FC87C" w14:textId="43938660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AOP250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Redovitim otplatama obveza za  stanove smanjilo se potraživanje  te će u tijeku 2022. godine biti otplaćen i posljednji stan.</w:t>
            </w:r>
          </w:p>
        </w:tc>
      </w:tr>
      <w:tr w:rsidR="007E6933" w:rsidRPr="007B6D18" w14:paraId="000F457E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369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402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aktiva (AOP 254)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122E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253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570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56.410.002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E1F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6"/>
                <w:lang w:eastAsia="hr-HR"/>
              </w:rPr>
              <w:t>62.643.705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717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111,1</w:t>
            </w:r>
          </w:p>
        </w:tc>
      </w:tr>
      <w:tr w:rsidR="007E6933" w:rsidRPr="007B6D18" w14:paraId="46D51B03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A306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1C7B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pasiva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9976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  <w:t>254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2A98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56.410.002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E42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62.643.705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A62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111,1</w:t>
            </w:r>
          </w:p>
        </w:tc>
      </w:tr>
      <w:tr w:rsidR="007E6933" w:rsidRPr="007B6D18" w14:paraId="1AE419A4" w14:textId="77777777" w:rsidTr="005B795E">
        <w:trPr>
          <w:trHeight w:val="598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15E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EA8557A" w14:textId="7D62D693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AOP253-254 – </w:t>
            </w:r>
            <w:proofErr w:type="spellStart"/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Izvanbilančna</w:t>
            </w:r>
            <w:proofErr w:type="spellEnd"/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aktiva i pasiva povećane su radi već spomenutog prijenosa kapitalnih ulaganja u poslovne knjige PGŽ-a.</w:t>
            </w:r>
          </w:p>
        </w:tc>
      </w:tr>
      <w:tr w:rsidR="007E6933" w:rsidRPr="007B6D18" w14:paraId="02945BBB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66D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16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4423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 - dospjela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BA1F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257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1512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62.288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3D4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13.977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1891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22,4</w:t>
            </w:r>
          </w:p>
        </w:tc>
      </w:tr>
      <w:tr w:rsidR="007E6933" w:rsidRPr="007B6D18" w14:paraId="1D298A58" w14:textId="77777777" w:rsidTr="005B795E">
        <w:trPr>
          <w:trHeight w:val="567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08FBB60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140C52" w14:textId="70963144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AOP257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U ovoj godini smanjila su se dospjela potraživanja radi učinkovitije naplate tijekom godine.</w:t>
            </w:r>
          </w:p>
        </w:tc>
      </w:tr>
      <w:tr w:rsidR="007E6933" w:rsidRPr="007B6D18" w14:paraId="0A256D14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22D1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16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8564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 - nedospjela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2286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258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3650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884.057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676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3.150.247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2AD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356,3</w:t>
            </w:r>
          </w:p>
        </w:tc>
      </w:tr>
      <w:tr w:rsidR="007E6933" w:rsidRPr="007B6D18" w14:paraId="4965681B" w14:textId="77777777" w:rsidTr="00B35A21">
        <w:trPr>
          <w:trHeight w:val="577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8D6575B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1E215A7" w14:textId="36ECDCF0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AOP258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Nedospjela potraživanja za prihode poslovanja  odnose se na više fakturirani iznos prema HZZO-u.</w:t>
            </w:r>
          </w:p>
        </w:tc>
      </w:tr>
      <w:tr w:rsidR="007E6933" w:rsidRPr="007B6D18" w14:paraId="5F78EE23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B5BD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17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FD03" w14:textId="23062623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od prodaje nefinancijske imovine - nedospjela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1E68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25B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6.736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B914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2.184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D99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32,4</w:t>
            </w:r>
          </w:p>
        </w:tc>
      </w:tr>
      <w:tr w:rsidR="007E6933" w:rsidRPr="007B6D18" w14:paraId="3B64F213" w14:textId="77777777" w:rsidTr="005B795E">
        <w:trPr>
          <w:trHeight w:val="422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D5499B8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99FBFC" w14:textId="1740154F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AOP260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Redovitom otplatom stanova smanjilo se i potraživanje  od prodaje nefinancijske imovine</w:t>
            </w:r>
          </w:p>
        </w:tc>
      </w:tr>
      <w:tr w:rsidR="007E6933" w:rsidRPr="007B6D18" w14:paraId="560A135C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A2BD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12911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EC59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naknade koje se refundiraju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FB4F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261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CB9C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143.564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E535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69.361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EB4F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48,3</w:t>
            </w:r>
          </w:p>
        </w:tc>
      </w:tr>
      <w:tr w:rsidR="007E6933" w:rsidRPr="007B6D18" w14:paraId="4F7553A3" w14:textId="77777777" w:rsidTr="00B35A21">
        <w:trPr>
          <w:trHeight w:val="574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B958C35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330BAA7" w14:textId="0348D818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AOP261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Na kraju 2021. godine su manja potraživanja za bolovanja na teret fonda nego na kraju 2020.-te godine</w:t>
            </w:r>
          </w:p>
        </w:tc>
      </w:tr>
      <w:tr w:rsidR="007E6933" w:rsidRPr="007B6D18" w14:paraId="62AE63D3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6C2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12912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03FD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predujmove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F499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262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7CC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1.098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C1E6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974E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0,0</w:t>
            </w:r>
          </w:p>
        </w:tc>
      </w:tr>
      <w:tr w:rsidR="007E6933" w:rsidRPr="007B6D18" w14:paraId="47DD347B" w14:textId="77777777" w:rsidTr="007E6933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8359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23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C42D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 - dospjele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B9D4" w14:textId="77777777" w:rsidR="007E6933" w:rsidRPr="007B6D18" w:rsidRDefault="007E6933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hr-HR"/>
              </w:rPr>
              <w:t>280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DECB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95.402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F759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3.200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F6DC" w14:textId="77777777" w:rsidR="007E6933" w:rsidRPr="007B6D18" w:rsidRDefault="007E6933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3,4</w:t>
            </w:r>
          </w:p>
        </w:tc>
      </w:tr>
      <w:tr w:rsidR="007E6933" w:rsidRPr="007B6D18" w14:paraId="5C503F2E" w14:textId="77777777" w:rsidTr="003A2FD9">
        <w:trPr>
          <w:trHeight w:val="588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C33355E" w14:textId="77777777" w:rsidR="007E6933" w:rsidRPr="007B6D18" w:rsidRDefault="007E6933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02" w:type="pct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3931318" w14:textId="1AF70DC4" w:rsidR="007E6933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AOP280 – </w:t>
            </w:r>
            <w:r w:rsidR="007E6933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Smatramo </w:t>
            </w:r>
            <w:r w:rsidR="005B795E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>da na dan 31.12.2021. praktički nema značajnijih dospjelih obveza što je pokazatelj izuzetno racionalnog poslovanja</w:t>
            </w:r>
          </w:p>
        </w:tc>
      </w:tr>
    </w:tbl>
    <w:p w14:paraId="1E6D1F17" w14:textId="77777777" w:rsidR="007E6933" w:rsidRPr="007B6D18" w:rsidRDefault="007E6933" w:rsidP="004D6CE4">
      <w:pPr>
        <w:ind w:right="1"/>
        <w:rPr>
          <w:rFonts w:ascii="Arial" w:hAnsi="Arial" w:cs="Arial"/>
        </w:rPr>
      </w:pPr>
    </w:p>
    <w:p w14:paraId="691FB5D7" w14:textId="008FFA10" w:rsidR="00D84BD4" w:rsidRPr="007B6D18" w:rsidRDefault="00D84BD4" w:rsidP="004D6CE4">
      <w:pPr>
        <w:ind w:right="1"/>
        <w:rPr>
          <w:rFonts w:ascii="Arial" w:hAnsi="Arial" w:cs="Arial"/>
        </w:rPr>
      </w:pPr>
    </w:p>
    <w:p w14:paraId="1B7070C6" w14:textId="77777777" w:rsidR="000F54E6" w:rsidRPr="007B6D18" w:rsidRDefault="000F54E6" w:rsidP="00D84BD4">
      <w:pPr>
        <w:ind w:right="1"/>
        <w:jc w:val="center"/>
        <w:rPr>
          <w:rFonts w:ascii="Arial" w:hAnsi="Arial" w:cs="Arial"/>
          <w:b/>
          <w:bCs/>
        </w:rPr>
      </w:pPr>
    </w:p>
    <w:p w14:paraId="65D15471" w14:textId="3FF213F6" w:rsidR="000F54E6" w:rsidRPr="00F5300E" w:rsidRDefault="000F54E6" w:rsidP="000F54E6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t>IZVJEŠTAJ O RASHODIMA PREMA FUNKCIJSKOJ KLASIFIKACIJI</w:t>
      </w:r>
    </w:p>
    <w:p w14:paraId="611A1FE2" w14:textId="2AA14FD0" w:rsidR="000F54E6" w:rsidRPr="00F5300E" w:rsidRDefault="000F54E6" w:rsidP="000F54E6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t>OBRAZAC RAS-FUNKCIJSKI I-XII 2021.</w:t>
      </w:r>
    </w:p>
    <w:p w14:paraId="1498A01E" w14:textId="16429D79" w:rsidR="000F54E6" w:rsidRPr="007B6D18" w:rsidRDefault="000F54E6" w:rsidP="00D84BD4">
      <w:pPr>
        <w:ind w:right="1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5"/>
        <w:gridCol w:w="4820"/>
        <w:gridCol w:w="709"/>
        <w:gridCol w:w="1134"/>
        <w:gridCol w:w="1399"/>
        <w:gridCol w:w="723"/>
      </w:tblGrid>
      <w:tr w:rsidR="003E3686" w:rsidRPr="007B6D18" w14:paraId="3F134865" w14:textId="77777777" w:rsidTr="003E3686">
        <w:trPr>
          <w:trHeight w:val="7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654B2685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Brojč</w:t>
            </w:r>
            <w:proofErr w:type="spellEnd"/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ozn</w:t>
            </w:r>
            <w:proofErr w:type="spellEnd"/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funk. klas.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0F11B51B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355D78CB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5DEFCF1F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Ostvareno u prethodnoj godini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53E9CE1F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Ostvareno u tekućoj godini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4B9570C0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  <w:r w:rsidRPr="006A3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</w:tr>
      <w:tr w:rsidR="003E3686" w:rsidRPr="007B6D18" w14:paraId="50B4752D" w14:textId="77777777" w:rsidTr="003E3686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61CD31F1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1801CFEE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1892AE16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4E2D468D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39F870C8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B0B6F2B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</w:t>
            </w:r>
          </w:p>
        </w:tc>
      </w:tr>
      <w:tr w:rsidR="003E3686" w:rsidRPr="007B6D18" w14:paraId="78D77A2D" w14:textId="77777777" w:rsidTr="003E3686">
        <w:trPr>
          <w:trHeight w:val="255"/>
        </w:trPr>
        <w:tc>
          <w:tcPr>
            <w:tcW w:w="845" w:type="dxa"/>
            <w:tcBorders>
              <w:top w:val="dotted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300125E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</w:t>
            </w:r>
          </w:p>
        </w:tc>
        <w:tc>
          <w:tcPr>
            <w:tcW w:w="4820" w:type="dxa"/>
            <w:tcBorders>
              <w:top w:val="dotted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4CD76B1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(AOP 086+090+095+100+101+102)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4F3645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085</w:t>
            </w:r>
          </w:p>
        </w:tc>
        <w:tc>
          <w:tcPr>
            <w:tcW w:w="1134" w:type="dxa"/>
            <w:tcBorders>
              <w:top w:val="dotted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EE1EA54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58.089.653</w:t>
            </w:r>
          </w:p>
        </w:tc>
        <w:tc>
          <w:tcPr>
            <w:tcW w:w="1399" w:type="dxa"/>
            <w:tcBorders>
              <w:top w:val="dotted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BE77CB1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54.535.180</w:t>
            </w: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8CF6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93,9</w:t>
            </w:r>
          </w:p>
        </w:tc>
      </w:tr>
      <w:tr w:rsidR="003E3686" w:rsidRPr="007B6D18" w14:paraId="5B1D19EE" w14:textId="77777777" w:rsidTr="003E368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8B2E3EB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1DE8776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 za vanjske pacijente (AOP 091 do 094)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FF9295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7A73A5D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48.230.143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76F2A1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50.541.839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D317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104,8</w:t>
            </w:r>
          </w:p>
        </w:tc>
      </w:tr>
      <w:tr w:rsidR="003E3686" w:rsidRPr="007B6D18" w14:paraId="7404C7C0" w14:textId="77777777" w:rsidTr="003E368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78B3FA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F9D429A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Opće medicinske usluge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F110469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AE2EA4A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48.230.143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E42F0ED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50.541.839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77FB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104,8</w:t>
            </w:r>
          </w:p>
        </w:tc>
      </w:tr>
      <w:tr w:rsidR="003E3686" w:rsidRPr="007B6D18" w14:paraId="58A55CF7" w14:textId="77777777" w:rsidTr="003E3686">
        <w:trPr>
          <w:trHeight w:val="82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66FFC58" w14:textId="1596DDF8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785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</w:tcPr>
          <w:p w14:paraId="06D947D5" w14:textId="730DEF8A" w:rsidR="006A3832" w:rsidRPr="006A3832" w:rsidRDefault="00442641" w:rsidP="00DA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AOP091 – U okviru funkcijske klasifikacije 0721 Opće medicinske usluge ostvareno je 4,8% više rashoda u odnosu na prošlu godinu. Obuhvaćene su aktivnosti A420602 Dostupnost na sekundarnoj razini zdravstvene zaštite</w:t>
            </w:r>
            <w:r w:rsidR="00F2401D"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K420802 Ulaganje i opremanje objekata.</w:t>
            </w:r>
          </w:p>
        </w:tc>
      </w:tr>
      <w:tr w:rsidR="003E3686" w:rsidRPr="007B6D18" w14:paraId="7904A2D5" w14:textId="77777777" w:rsidTr="003E368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E0BF07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E0D414B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 javnog zdravstva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8E943D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1D9D8A0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8.512.159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D58649D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2.811.625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C9DA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33,0</w:t>
            </w:r>
          </w:p>
        </w:tc>
      </w:tr>
      <w:tr w:rsidR="003E3686" w:rsidRPr="007B6D18" w14:paraId="044296C4" w14:textId="77777777" w:rsidTr="003E3686">
        <w:trPr>
          <w:trHeight w:val="853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2DBC097" w14:textId="77777777" w:rsidR="006A3832" w:rsidRPr="007B6D18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785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</w:tcPr>
          <w:p w14:paraId="5661E2B1" w14:textId="473FD2DF" w:rsidR="006A3832" w:rsidRPr="003E3686" w:rsidRDefault="00F2401D" w:rsidP="00DA2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AOP100 - U okviru funkcijske klasifikacije 0740 Službe javnog zdravstva ostvareno je 67% manje rashoda u odnosu na prošlu godinu. O</w:t>
            </w:r>
            <w:r w:rsid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</w:t>
            </w: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uhvaćene su aktivnosti A420607 Ostali programi edukacije i prevencije te K420807 Projekt obnove bolničkih paviljona Psihijatrijske bolnice Rab.</w:t>
            </w:r>
          </w:p>
        </w:tc>
      </w:tr>
      <w:tr w:rsidR="003E3686" w:rsidRPr="007B6D18" w14:paraId="79131FAB" w14:textId="77777777" w:rsidTr="003E368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E7C222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075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30F7CD2" w14:textId="77777777" w:rsidR="006A3832" w:rsidRPr="006A3832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Istraživanje i razvoj zdravstva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3488C3" w14:textId="77777777" w:rsidR="006A3832" w:rsidRPr="006A3832" w:rsidRDefault="006A3832" w:rsidP="006A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E6F8012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1.347.351</w:t>
            </w:r>
          </w:p>
        </w:tc>
        <w:tc>
          <w:tcPr>
            <w:tcW w:w="1399" w:type="dxa"/>
            <w:tcBorders>
              <w:top w:val="nil"/>
              <w:left w:val="nil"/>
              <w:bottom w:val="dotted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6912D91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1.181.716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1D9F" w14:textId="77777777" w:rsidR="006A3832" w:rsidRPr="006A3832" w:rsidRDefault="006A3832" w:rsidP="006A3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383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87,7</w:t>
            </w:r>
          </w:p>
        </w:tc>
      </w:tr>
      <w:tr w:rsidR="003E3686" w:rsidRPr="007B6D18" w14:paraId="66F3E0BD" w14:textId="77777777" w:rsidTr="003E3686">
        <w:trPr>
          <w:trHeight w:val="727"/>
        </w:trPr>
        <w:tc>
          <w:tcPr>
            <w:tcW w:w="8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403EEFBE" w14:textId="77777777" w:rsidR="006A3832" w:rsidRPr="007B6D18" w:rsidRDefault="006A3832" w:rsidP="006A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785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</w:tcPr>
          <w:p w14:paraId="653615EC" w14:textId="64869614" w:rsidR="006A3832" w:rsidRPr="003E3686" w:rsidRDefault="003E3686" w:rsidP="006A3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AOP10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U okviru funkcijske klasifikacije 07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Istraživanje i razvoj zdravstva</w:t>
            </w: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ostvareno je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12,3</w:t>
            </w:r>
            <w:r w:rsidRPr="003E368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 manje rashoda u odnosu na prošlu godinu.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Obuhvaćena je aktivnost A420603 Specijalizacije doktora medicine.</w:t>
            </w:r>
          </w:p>
        </w:tc>
      </w:tr>
    </w:tbl>
    <w:p w14:paraId="149FF00B" w14:textId="77777777" w:rsidR="006A3832" w:rsidRPr="007B6D18" w:rsidRDefault="006A3832" w:rsidP="00D84BD4">
      <w:pPr>
        <w:ind w:right="1"/>
        <w:jc w:val="center"/>
        <w:rPr>
          <w:rFonts w:ascii="Arial" w:hAnsi="Arial" w:cs="Arial"/>
          <w:b/>
          <w:bCs/>
        </w:rPr>
      </w:pPr>
    </w:p>
    <w:p w14:paraId="32F539CB" w14:textId="77777777" w:rsidR="00D418B3" w:rsidRDefault="00D418B3" w:rsidP="00D84BD4">
      <w:pPr>
        <w:ind w:right="1"/>
        <w:jc w:val="center"/>
        <w:rPr>
          <w:rFonts w:ascii="Arial" w:hAnsi="Arial" w:cs="Arial"/>
          <w:b/>
          <w:bCs/>
          <w:color w:val="C00000"/>
        </w:rPr>
      </w:pPr>
    </w:p>
    <w:p w14:paraId="7A4DC2F2" w14:textId="77777777" w:rsidR="00D418B3" w:rsidRDefault="00D418B3" w:rsidP="00D84BD4">
      <w:pPr>
        <w:ind w:right="1"/>
        <w:jc w:val="center"/>
        <w:rPr>
          <w:rFonts w:ascii="Arial" w:hAnsi="Arial" w:cs="Arial"/>
          <w:b/>
          <w:bCs/>
          <w:color w:val="C00000"/>
        </w:rPr>
      </w:pPr>
    </w:p>
    <w:p w14:paraId="53EEC536" w14:textId="04B6F7D1" w:rsidR="00D84BD4" w:rsidRPr="00F5300E" w:rsidRDefault="00D84BD4" w:rsidP="00D84BD4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t>IZVJEŠTAJ O PROMJENAMA U VRIJEDNOSTI I OBUJMU IMOVINE I OBVEZA</w:t>
      </w:r>
    </w:p>
    <w:p w14:paraId="3677F388" w14:textId="180F197A" w:rsidR="00D84BD4" w:rsidRPr="007B6D18" w:rsidRDefault="00D84BD4" w:rsidP="004D6CE4">
      <w:pPr>
        <w:ind w:right="1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4819"/>
        <w:gridCol w:w="709"/>
        <w:gridCol w:w="1560"/>
        <w:gridCol w:w="1697"/>
      </w:tblGrid>
      <w:tr w:rsidR="000F54E6" w:rsidRPr="007B6D18" w14:paraId="08C52911" w14:textId="77777777" w:rsidTr="000F54E6">
        <w:trPr>
          <w:trHeight w:val="765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14E8D3AC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Račun iz </w:t>
            </w:r>
            <w:proofErr w:type="spellStart"/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</w:t>
            </w:r>
            <w:proofErr w:type="spellEnd"/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plana</w:t>
            </w:r>
          </w:p>
        </w:tc>
        <w:tc>
          <w:tcPr>
            <w:tcW w:w="2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430D1A5E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68B95A6B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29CEA5A5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 povećanja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77B57E8F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 smanjenja</w:t>
            </w:r>
          </w:p>
        </w:tc>
      </w:tr>
      <w:tr w:rsidR="000F54E6" w:rsidRPr="007B6D18" w14:paraId="0E1EFC1B" w14:textId="77777777" w:rsidTr="000F54E6">
        <w:trPr>
          <w:trHeight w:val="240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0EC5210F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3B91F28C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6912C43E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0FFF6122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33E0A53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</w:t>
            </w:r>
          </w:p>
        </w:tc>
      </w:tr>
      <w:tr w:rsidR="000F54E6" w:rsidRPr="007B6D18" w14:paraId="0DFF9514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BA4524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91512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FB4BCB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imovine (AOP 019+026)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497A327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85B0B65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265.911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2830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8.557.853</w:t>
            </w:r>
          </w:p>
        </w:tc>
      </w:tr>
      <w:tr w:rsidR="000F54E6" w:rsidRPr="007B6D18" w14:paraId="53471DE3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06D95D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CD8800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nefinancijske imovine (AOP 020 do 025)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E718DA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5B14D85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265.911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B77D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8.428.542</w:t>
            </w:r>
          </w:p>
        </w:tc>
      </w:tr>
      <w:tr w:rsidR="000F54E6" w:rsidRPr="007B6D18" w14:paraId="33A4E768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526175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71B718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 dugotrajna imovina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89FBA5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687C063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4877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8.400.024</w:t>
            </w:r>
          </w:p>
        </w:tc>
      </w:tr>
      <w:tr w:rsidR="000F54E6" w:rsidRPr="007B6D18" w14:paraId="7984350B" w14:textId="77777777" w:rsidTr="000F54E6">
        <w:trPr>
          <w:trHeight w:val="869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84E4317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61" w:type="pct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D70C00B" w14:textId="20E70D7A" w:rsidR="000F54E6" w:rsidRPr="007B6D18" w:rsidRDefault="00B35A21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AOP020 </w:t>
            </w:r>
            <w:r w:rsidR="00623F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0F54E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Dugogodišnje kapitalno ulaganje u adaptaciju paviljona B (koji je stavljen u funkciju u 2021. godini), te ostala kapitalna ulaganja u funkciji su isknjižena iz naših poslovnih knjiga te je izvršen prijenos imovine Primorsko goranskoj županiji kao vlasniku</w:t>
            </w:r>
            <w:r w:rsidR="00210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osnivaču</w:t>
            </w:r>
            <w:r w:rsidR="000F54E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0F54E6" w:rsidRPr="007B6D18" w14:paraId="015EBCA5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F3D909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DA19CB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21C4D52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2CF350F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3401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3.136</w:t>
            </w:r>
          </w:p>
        </w:tc>
      </w:tr>
      <w:tr w:rsidR="000F54E6" w:rsidRPr="007B6D18" w14:paraId="3C392458" w14:textId="77777777" w:rsidTr="000F54E6">
        <w:trPr>
          <w:trHeight w:val="524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A77B4DA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61" w:type="pct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D61CE6E" w14:textId="63F741AA" w:rsidR="000F54E6" w:rsidRPr="007B6D18" w:rsidRDefault="00623F7F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AOP021 – </w:t>
            </w:r>
            <w:r w:rsidR="000F54E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 povećanja proizvedene dugotrajne materijalne imovine se odnosi na provedeni rashod  osnovnih sredstava u 2021.  godini</w:t>
            </w:r>
          </w:p>
        </w:tc>
      </w:tr>
      <w:tr w:rsidR="000F54E6" w:rsidRPr="007B6D18" w14:paraId="27085EA6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3425F9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A1B1C7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42DDD8F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E998E9E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0ACE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19.957</w:t>
            </w:r>
          </w:p>
        </w:tc>
      </w:tr>
      <w:tr w:rsidR="000F54E6" w:rsidRPr="007B6D18" w14:paraId="2791C3BA" w14:textId="77777777" w:rsidTr="000F54E6">
        <w:trPr>
          <w:trHeight w:val="407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723C9AB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61" w:type="pct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2FC63EA" w14:textId="393543C4" w:rsidR="000F54E6" w:rsidRPr="007B6D18" w:rsidRDefault="00623F7F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AOP023 – </w:t>
            </w:r>
            <w:r w:rsidR="000F54E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smanjenja od 19.957 kn odnosi se na otpis sitnog inventara u 2021. godini.</w:t>
            </w:r>
          </w:p>
        </w:tc>
      </w:tr>
      <w:tr w:rsidR="000F54E6" w:rsidRPr="007B6D18" w14:paraId="7E9BEEB3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0E877F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70E436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kratkotrajna imovina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EFB3A0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5CAC9F4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265.911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84C1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5.425</w:t>
            </w:r>
          </w:p>
        </w:tc>
      </w:tr>
      <w:tr w:rsidR="000F54E6" w:rsidRPr="007B6D18" w14:paraId="69AB48EA" w14:textId="77777777" w:rsidTr="00173DAE">
        <w:trPr>
          <w:trHeight w:val="1255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F213C58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61" w:type="pct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14C46C" w14:textId="30D13289" w:rsidR="000F54E6" w:rsidRPr="007B6D18" w:rsidRDefault="00623F7F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AOP025 – </w:t>
            </w:r>
            <w:r w:rsidR="000F54E6"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povećanja od  265.911 kn se odnosi na prijenos proizvedene kratkotrajne imovine unutar proračuna odnosno na donaciju zaštitne medicinske opreme MUP RH Civilne zaštite.</w:t>
            </w:r>
          </w:p>
          <w:p w14:paraId="2CC055E0" w14:textId="054846F6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smanjenja </w:t>
            </w:r>
            <w:r w:rsidR="00173D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 5.425kn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pripada prijenosu </w:t>
            </w:r>
            <w:r w:rsidRPr="00173D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uroda lavande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odnosno suhog cvijeta lavande Udruzi za rehabilitaciju i resocijalizaciju </w:t>
            </w:r>
            <w:r w:rsidR="00623F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osoba sa duševnim smetnjama </w:t>
            </w: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 Psihijatrijskoj bolnici</w:t>
            </w: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Rab.</w:t>
            </w:r>
          </w:p>
        </w:tc>
      </w:tr>
      <w:tr w:rsidR="000F54E6" w:rsidRPr="007B6D18" w14:paraId="73C87318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193157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86CBDE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financijske imovine (AOP 027 do 033)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47E7D5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795843B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D1EE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129.311</w:t>
            </w:r>
          </w:p>
        </w:tc>
      </w:tr>
      <w:tr w:rsidR="000F54E6" w:rsidRPr="007B6D18" w14:paraId="29FB6B28" w14:textId="77777777" w:rsidTr="000F54E6">
        <w:trPr>
          <w:trHeight w:val="282"/>
        </w:trPr>
        <w:tc>
          <w:tcPr>
            <w:tcW w:w="439" w:type="pct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F4658A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E848DC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3FDEC8" w14:textId="77777777" w:rsidR="000F54E6" w:rsidRPr="007B6D18" w:rsidRDefault="000F54E6" w:rsidP="007A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052AE11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B57E" w14:textId="77777777" w:rsidR="000F54E6" w:rsidRPr="007B6D18" w:rsidRDefault="000F54E6" w:rsidP="007A0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129.311</w:t>
            </w:r>
          </w:p>
        </w:tc>
      </w:tr>
      <w:tr w:rsidR="000F54E6" w:rsidRPr="007B6D18" w14:paraId="6E4FDF96" w14:textId="77777777" w:rsidTr="003A2FD9">
        <w:trPr>
          <w:trHeight w:val="1571"/>
        </w:trPr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D4AA2D7" w14:textId="77777777" w:rsidR="000F54E6" w:rsidRPr="007B6D18" w:rsidRDefault="000F54E6" w:rsidP="007A0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61" w:type="pct"/>
            <w:gridSpan w:val="4"/>
            <w:tcBorders>
              <w:top w:val="dotted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54B928" w14:textId="322C19AE" w:rsidR="000F54E6" w:rsidRPr="003A2FD9" w:rsidRDefault="00623F7F" w:rsidP="000F54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AOP026-032 – </w:t>
            </w:r>
            <w:r w:rsidR="000F54E6" w:rsidRPr="003A2FD9">
              <w:rPr>
                <w:rFonts w:ascii="Arial" w:hAnsi="Arial" w:cs="Arial"/>
                <w:sz w:val="18"/>
                <w:szCs w:val="18"/>
              </w:rPr>
              <w:t>Temeljem Zapisnika  Hrvatskog zavoda za zdravstveno osiguranje o usklađenju i konačnom obračunu limita i izvršenja rada  za razdoblje od 01. siječnja do 31. prosinca 2020. godine sa stanjem na dan 31.12.2020.  godine proveden je otpis više fakturiranih usluga odnosno prekoračenje ugovorenog limita u iznosu od 121.296 kn. Također otpisana su dva računa temeljem zast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F54E6" w:rsidRPr="003A2FD9">
              <w:rPr>
                <w:rFonts w:ascii="Arial" w:hAnsi="Arial" w:cs="Arial"/>
                <w:sz w:val="18"/>
                <w:szCs w:val="18"/>
              </w:rPr>
              <w:t xml:space="preserve">re potraživanja </w:t>
            </w:r>
            <w:r w:rsidR="00210D19">
              <w:rPr>
                <w:rFonts w:ascii="Arial" w:hAnsi="Arial" w:cs="Arial"/>
                <w:sz w:val="18"/>
                <w:szCs w:val="18"/>
              </w:rPr>
              <w:t xml:space="preserve">(preminuli pacijent bez osiguranja) </w:t>
            </w:r>
            <w:r w:rsidR="000F54E6" w:rsidRPr="003A2FD9">
              <w:rPr>
                <w:rFonts w:ascii="Arial" w:hAnsi="Arial" w:cs="Arial"/>
                <w:sz w:val="18"/>
                <w:szCs w:val="18"/>
              </w:rPr>
              <w:t>te nemogućnosti naplate u  ukupnom iznosu od 8.015 kn.</w:t>
            </w:r>
          </w:p>
        </w:tc>
      </w:tr>
    </w:tbl>
    <w:p w14:paraId="09417635" w14:textId="77777777" w:rsidR="000F54E6" w:rsidRPr="007B6D18" w:rsidRDefault="000F54E6" w:rsidP="000F54E6">
      <w:pPr>
        <w:ind w:right="1"/>
        <w:rPr>
          <w:rFonts w:ascii="Arial" w:hAnsi="Arial" w:cs="Arial"/>
        </w:rPr>
      </w:pPr>
    </w:p>
    <w:p w14:paraId="46013DAB" w14:textId="08BD77CF" w:rsidR="00BD7F69" w:rsidRDefault="00BD7F69" w:rsidP="00BD7F69">
      <w:pPr>
        <w:ind w:right="1"/>
        <w:jc w:val="center"/>
        <w:rPr>
          <w:rFonts w:ascii="Arial" w:hAnsi="Arial" w:cs="Arial"/>
          <w:b/>
          <w:bCs/>
        </w:rPr>
      </w:pPr>
    </w:p>
    <w:p w14:paraId="67A9F52C" w14:textId="7E2F82EE" w:rsidR="002F0EB5" w:rsidRDefault="002F0EB5" w:rsidP="00BD7F69">
      <w:pPr>
        <w:ind w:right="1"/>
        <w:jc w:val="center"/>
        <w:rPr>
          <w:rFonts w:ascii="Arial" w:hAnsi="Arial" w:cs="Arial"/>
          <w:b/>
          <w:bCs/>
        </w:rPr>
      </w:pPr>
    </w:p>
    <w:p w14:paraId="7FBEDE84" w14:textId="586B6A1C" w:rsidR="002F0EB5" w:rsidRDefault="002F0EB5" w:rsidP="00BD7F69">
      <w:pPr>
        <w:ind w:right="1"/>
        <w:jc w:val="center"/>
        <w:rPr>
          <w:rFonts w:ascii="Arial" w:hAnsi="Arial" w:cs="Arial"/>
          <w:b/>
          <w:bCs/>
        </w:rPr>
      </w:pPr>
    </w:p>
    <w:p w14:paraId="16512704" w14:textId="696E42B0" w:rsidR="000F54E6" w:rsidRPr="00F5300E" w:rsidRDefault="00BD7F69" w:rsidP="00BD7F69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lastRenderedPageBreak/>
        <w:t>IZVJEŠTAJ O OBVEZAMA ZA RAZDOBLJE I-XII 2021.</w:t>
      </w:r>
    </w:p>
    <w:p w14:paraId="1E332C6C" w14:textId="40FE41B8" w:rsidR="00BD7F69" w:rsidRPr="007B6D18" w:rsidRDefault="00BD7F69" w:rsidP="004D6CE4">
      <w:pPr>
        <w:ind w:right="1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1"/>
        <w:gridCol w:w="7063"/>
        <w:gridCol w:w="563"/>
        <w:gridCol w:w="1023"/>
      </w:tblGrid>
      <w:tr w:rsidR="003A2FD9" w:rsidRPr="007B6D18" w14:paraId="1035865F" w14:textId="77777777" w:rsidTr="003A2FD9">
        <w:trPr>
          <w:trHeight w:val="450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139933D3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Račun iz </w:t>
            </w:r>
            <w:proofErr w:type="spellStart"/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</w:t>
            </w:r>
            <w:proofErr w:type="spellEnd"/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plana</w:t>
            </w:r>
          </w:p>
        </w:tc>
        <w:tc>
          <w:tcPr>
            <w:tcW w:w="3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7765D527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18AF3F84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162478A8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</w:tr>
      <w:tr w:rsidR="003A2FD9" w:rsidRPr="007B6D18" w14:paraId="3C2B2AD4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7070ACF8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2DA8AAB8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3AAA1BCD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AF961D6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</w:t>
            </w:r>
          </w:p>
        </w:tc>
      </w:tr>
      <w:tr w:rsidR="003A2FD9" w:rsidRPr="007B6D18" w14:paraId="295FCA24" w14:textId="77777777" w:rsidTr="003A2FD9">
        <w:trPr>
          <w:trHeight w:val="255"/>
        </w:trPr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16E9EB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18D396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1. siječnja (=AOP 038* iz Izvještaja o obvezama za prethodnu godinu)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79D499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A06A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5.492.896</w:t>
            </w:r>
          </w:p>
        </w:tc>
      </w:tr>
      <w:tr w:rsidR="003A2FD9" w:rsidRPr="007B6D18" w14:paraId="3558CD23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DA936E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56C053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Povećanje obveza u izvještajnom razdoblju (AOP 003+004+013+014)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1CF011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93B1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53.522.246</w:t>
            </w:r>
          </w:p>
        </w:tc>
      </w:tr>
      <w:tr w:rsidR="003A2FD9" w:rsidRPr="007B6D18" w14:paraId="1137B55A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C27768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6B9366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Međusobne obveze proračunskih korisnika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024F87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AC9C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446.650</w:t>
            </w:r>
          </w:p>
        </w:tc>
      </w:tr>
      <w:tr w:rsidR="003A2FD9" w:rsidRPr="007B6D18" w14:paraId="2280A78D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35033B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C9B77E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Obveze za rashode poslovanja (AOP 005 do 012)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911413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D253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49.405.840</w:t>
            </w:r>
          </w:p>
        </w:tc>
      </w:tr>
      <w:tr w:rsidR="003A2FD9" w:rsidRPr="007B6D18" w14:paraId="1FF9B5BD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A88731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573AC5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zaposlene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76547C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E660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36.734.090</w:t>
            </w:r>
          </w:p>
        </w:tc>
      </w:tr>
      <w:tr w:rsidR="003A2FD9" w:rsidRPr="007B6D18" w14:paraId="7803D69E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BDC45D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023002D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CA7067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DFC8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12.525.983</w:t>
            </w:r>
          </w:p>
        </w:tc>
      </w:tr>
      <w:tr w:rsidR="003A2FD9" w:rsidRPr="007B6D18" w14:paraId="664E1B60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64D58DE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572507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3431FE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BCCE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15.495</w:t>
            </w:r>
          </w:p>
        </w:tc>
      </w:tr>
      <w:tr w:rsidR="003A2FD9" w:rsidRPr="007B6D18" w14:paraId="0D421D6F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589D7D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9EADFC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naknade građanima i kućanstvima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F8573C3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EA2A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79.149</w:t>
            </w:r>
          </w:p>
        </w:tc>
      </w:tr>
      <w:tr w:rsidR="003A2FD9" w:rsidRPr="007B6D18" w14:paraId="28C6CC39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6FEC70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CE589C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kazne, naknade šteta i kapitalne pomoći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32A1CF0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C283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3A2FD9" w:rsidRPr="007B6D18" w14:paraId="61DBA6CA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D956CC2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7A352B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3567708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4187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51.123</w:t>
            </w:r>
          </w:p>
        </w:tc>
      </w:tr>
      <w:tr w:rsidR="003A2FD9" w:rsidRPr="007B6D18" w14:paraId="3ADEED14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9A8FEA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8FD980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F97E702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F397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3.669.756</w:t>
            </w:r>
          </w:p>
        </w:tc>
      </w:tr>
      <w:tr w:rsidR="003A2FD9" w:rsidRPr="007B6D18" w14:paraId="25EA8966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C61A46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4EACC0A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Podmirene obveze u izvještajnom razdoblju (AOP 021+022+031+032)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EA288F3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D314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55.540.606</w:t>
            </w:r>
          </w:p>
        </w:tc>
      </w:tr>
      <w:tr w:rsidR="003A2FD9" w:rsidRPr="007B6D18" w14:paraId="330BA1C5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A5CD85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0CA3B63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Međusobne obveze proračunskih korisnika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955172A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63B3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461.520</w:t>
            </w:r>
          </w:p>
        </w:tc>
      </w:tr>
      <w:tr w:rsidR="003A2FD9" w:rsidRPr="007B6D18" w14:paraId="7F2E6025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49D0F1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E1873E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Obveze za rashode poslovanja (AOP 023 do 030)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90E1943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DA9B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49.413.999</w:t>
            </w:r>
          </w:p>
        </w:tc>
      </w:tr>
      <w:tr w:rsidR="003A2FD9" w:rsidRPr="007B6D18" w14:paraId="1DB57DAA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2B64C0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C4F696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zaposlene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734B45A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D50E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36.453.552</w:t>
            </w:r>
          </w:p>
        </w:tc>
      </w:tr>
      <w:tr w:rsidR="003A2FD9" w:rsidRPr="007B6D18" w14:paraId="4672464D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A294BC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30D00E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9AA882C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C6B7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12.815.336</w:t>
            </w:r>
          </w:p>
        </w:tc>
      </w:tr>
      <w:tr w:rsidR="003A2FD9" w:rsidRPr="007B6D18" w14:paraId="3BC10DC8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FFE080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5450E2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CAFEBC1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3C7B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15.351</w:t>
            </w:r>
          </w:p>
        </w:tc>
      </w:tr>
      <w:tr w:rsidR="003A2FD9" w:rsidRPr="007B6D18" w14:paraId="5141A76D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7C41B44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56ABC4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naknade građanima i kućanstvima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D082A2F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3ED1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72.380</w:t>
            </w:r>
          </w:p>
        </w:tc>
      </w:tr>
      <w:tr w:rsidR="003A2FD9" w:rsidRPr="007B6D18" w14:paraId="13044562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510F13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BC0719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D691097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47C6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57.380</w:t>
            </w:r>
          </w:p>
        </w:tc>
      </w:tr>
      <w:tr w:rsidR="003A2FD9" w:rsidRPr="007B6D18" w14:paraId="11D9ADAF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5E67AE6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05892C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D6C18A0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A271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5.665.087</w:t>
            </w:r>
          </w:p>
        </w:tc>
      </w:tr>
      <w:tr w:rsidR="003A2FD9" w:rsidRPr="007B6D18" w14:paraId="27131556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876C7F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5A1F67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001+002-020) i (AOP 039+097)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8736F08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8415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3.474.536</w:t>
            </w:r>
          </w:p>
        </w:tc>
      </w:tr>
      <w:tr w:rsidR="003A2FD9" w:rsidRPr="007B6D18" w14:paraId="646825A5" w14:textId="77777777" w:rsidTr="003A2FD9">
        <w:trPr>
          <w:trHeight w:val="552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D353414" w14:textId="77777777" w:rsidR="003A2FD9" w:rsidRPr="007B6D18" w:rsidRDefault="003A2FD9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4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5602494" w14:textId="17FF0DDC" w:rsidR="003A2FD9" w:rsidRPr="003A2FD9" w:rsidRDefault="00E76F2C" w:rsidP="003A2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AOP 038 – </w:t>
            </w:r>
            <w:r w:rsidR="003A2FD9" w:rsidRPr="003A2FD9">
              <w:rPr>
                <w:rFonts w:ascii="Arial" w:hAnsi="Arial" w:cs="Arial"/>
                <w:sz w:val="18"/>
                <w:szCs w:val="18"/>
              </w:rPr>
              <w:t>Ukupne obveze na dan 31.12.2021. godine  iznose 3.474.536 kn.</w:t>
            </w:r>
          </w:p>
        </w:tc>
      </w:tr>
      <w:tr w:rsidR="003A2FD9" w:rsidRPr="007B6D18" w14:paraId="4372742E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2659E3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53248B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dospjelih obveza na kraju izvještajnog razdoblja (AOP 040+045+086+091)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4ADC27B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EEA8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3.200</w:t>
            </w:r>
          </w:p>
        </w:tc>
      </w:tr>
      <w:tr w:rsidR="003A2FD9" w:rsidRPr="007B6D18" w14:paraId="3B255804" w14:textId="77777777" w:rsidTr="003A2FD9">
        <w:trPr>
          <w:trHeight w:val="719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5E07296" w14:textId="77777777" w:rsidR="003A2FD9" w:rsidRPr="007B6D18" w:rsidRDefault="003A2FD9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4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4B205C" w14:textId="09BEE296" w:rsidR="003A2FD9" w:rsidRPr="003A2FD9" w:rsidRDefault="00E76F2C" w:rsidP="003A2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eastAsia="hr-HR"/>
              </w:rPr>
              <w:t xml:space="preserve">AOP039 – </w:t>
            </w:r>
            <w:r w:rsidR="003A2FD9">
              <w:rPr>
                <w:rFonts w:ascii="Arial" w:eastAsia="Times New Roman" w:hAnsi="Arial" w:cs="Arial"/>
                <w:color w:val="000080"/>
                <w:sz w:val="18"/>
                <w:szCs w:val="18"/>
                <w:lang w:eastAsia="hr-HR"/>
              </w:rPr>
              <w:t>D</w:t>
            </w:r>
            <w:r w:rsidR="003A2FD9" w:rsidRPr="003A2FD9">
              <w:rPr>
                <w:rFonts w:ascii="Arial" w:eastAsia="Times New Roman" w:hAnsi="Arial" w:cs="Arial"/>
                <w:color w:val="000080"/>
                <w:sz w:val="18"/>
                <w:szCs w:val="18"/>
                <w:lang w:eastAsia="hr-HR"/>
              </w:rPr>
              <w:t>ospjele obveze iznose 3.200 kn. Radi se o jednom računu koji je u siječnju 2022. godine podmiren.</w:t>
            </w:r>
            <w:r w:rsidR="009777E5">
              <w:rPr>
                <w:rFonts w:ascii="Arial" w:eastAsia="Times New Roman" w:hAnsi="Arial" w:cs="Arial"/>
                <w:color w:val="000080"/>
                <w:sz w:val="18"/>
                <w:szCs w:val="18"/>
                <w:lang w:eastAsia="hr-HR"/>
              </w:rPr>
              <w:t xml:space="preserve"> Ovo</w:t>
            </w:r>
            <w:r w:rsidR="009777E5" w:rsidRPr="007B6D18">
              <w:rPr>
                <w:rFonts w:ascii="Arial" w:eastAsia="Times New Roman" w:hAnsi="Arial" w:cs="Arial"/>
                <w:sz w:val="18"/>
                <w:szCs w:val="16"/>
                <w:lang w:eastAsia="hr-HR"/>
              </w:rPr>
              <w:t xml:space="preserve"> je pokazatelj izuzetno racionalnog poslovanja</w:t>
            </w:r>
          </w:p>
        </w:tc>
      </w:tr>
      <w:tr w:rsidR="003A2FD9" w:rsidRPr="007B6D18" w14:paraId="12490263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DFD7B0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623FA5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Međusobne obveze proračunskih korisnika (AOP 041 do 044)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A308C6E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62F4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3.200</w:t>
            </w:r>
          </w:p>
        </w:tc>
      </w:tr>
      <w:tr w:rsidR="003A2FD9" w:rsidRPr="007B6D18" w14:paraId="45AA1D7F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ED37FB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8894B82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Prekoračenje 1 do 60 dana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622A453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E5CA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</w:t>
            </w:r>
          </w:p>
        </w:tc>
      </w:tr>
      <w:tr w:rsidR="003A2FD9" w:rsidRPr="007B6D18" w14:paraId="253FD831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8975EF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7E3854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nedospjelih obveza na kraju izvještajnog razdoblja (AOP 098 do 101)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D43B492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097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3EE0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3.471.336</w:t>
            </w:r>
          </w:p>
        </w:tc>
      </w:tr>
      <w:tr w:rsidR="003A2FD9" w:rsidRPr="007B6D18" w14:paraId="2216DD97" w14:textId="77777777" w:rsidTr="003A2FD9">
        <w:trPr>
          <w:trHeight w:val="740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1256DEC" w14:textId="77777777" w:rsidR="003A2FD9" w:rsidRPr="007B6D18" w:rsidRDefault="003A2FD9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90" w:type="pct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A2FED3" w14:textId="20F38804" w:rsidR="003A2FD9" w:rsidRPr="003A2FD9" w:rsidRDefault="00E76F2C" w:rsidP="003A2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AOP097 – </w:t>
            </w:r>
            <w:r w:rsidR="003A2FD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Nedospjele obveze na kraju izvještajnog razdoblja iznos</w:t>
            </w:r>
            <w:r w:rsidR="009777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 3.471.336kn i biti će podmirene u roku dospijeća.</w:t>
            </w:r>
          </w:p>
        </w:tc>
      </w:tr>
      <w:tr w:rsidR="003A2FD9" w:rsidRPr="007B6D18" w14:paraId="43AF1DEA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5587D9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496493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Međusobne obveze proračunskih korisnika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BA445F4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098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6082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33.709</w:t>
            </w:r>
          </w:p>
        </w:tc>
      </w:tr>
      <w:tr w:rsidR="003A2FD9" w:rsidRPr="007B6D18" w14:paraId="30A7CFA7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1B66D0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43F402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17F4BE48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099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838F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3.410.591</w:t>
            </w:r>
          </w:p>
        </w:tc>
      </w:tr>
      <w:tr w:rsidR="003A2FD9" w:rsidRPr="007B6D18" w14:paraId="46FCC2FC" w14:textId="77777777" w:rsidTr="003A2FD9">
        <w:trPr>
          <w:trHeight w:val="255"/>
        </w:trPr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D6172E" w14:textId="77777777" w:rsidR="007B6D18" w:rsidRPr="007B6D18" w:rsidRDefault="007B6D18" w:rsidP="007B6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440D90" w14:textId="77777777" w:rsidR="007B6D18" w:rsidRPr="007B6D18" w:rsidRDefault="007B6D18" w:rsidP="007B6D1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DC91C96" w14:textId="77777777" w:rsidR="007B6D18" w:rsidRPr="007B6D18" w:rsidRDefault="007B6D18" w:rsidP="007B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30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8713" w14:textId="77777777" w:rsidR="007B6D18" w:rsidRPr="007B6D18" w:rsidRDefault="007B6D18" w:rsidP="007B6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6D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27.036</w:t>
            </w:r>
          </w:p>
        </w:tc>
      </w:tr>
    </w:tbl>
    <w:p w14:paraId="5E2AA9FE" w14:textId="39B5D141" w:rsidR="00BD7F69" w:rsidRDefault="00BD7F69" w:rsidP="00BD7F69">
      <w:pPr>
        <w:rPr>
          <w:rFonts w:ascii="Arial" w:hAnsi="Arial" w:cs="Arial"/>
          <w:sz w:val="18"/>
          <w:szCs w:val="18"/>
        </w:rPr>
      </w:pPr>
    </w:p>
    <w:p w14:paraId="0F296F40" w14:textId="77777777" w:rsidR="00E76F2C" w:rsidRPr="003A2FD9" w:rsidRDefault="00E76F2C" w:rsidP="00BD7F69">
      <w:pPr>
        <w:rPr>
          <w:rFonts w:ascii="Arial" w:hAnsi="Arial" w:cs="Arial"/>
          <w:sz w:val="18"/>
          <w:szCs w:val="18"/>
        </w:rPr>
      </w:pPr>
    </w:p>
    <w:p w14:paraId="752BFE11" w14:textId="3FBA37A2" w:rsidR="00BD7F69" w:rsidRDefault="00BD7F69" w:rsidP="004D6CE4">
      <w:pPr>
        <w:ind w:right="1"/>
        <w:rPr>
          <w:rFonts w:ascii="Arial" w:hAnsi="Arial" w:cs="Arial"/>
        </w:rPr>
      </w:pPr>
    </w:p>
    <w:p w14:paraId="65F50A75" w14:textId="049F04B9" w:rsidR="002F0EB5" w:rsidRDefault="002F0EB5" w:rsidP="004D6CE4">
      <w:pPr>
        <w:ind w:right="1"/>
        <w:rPr>
          <w:rFonts w:ascii="Arial" w:hAnsi="Arial" w:cs="Arial"/>
        </w:rPr>
      </w:pPr>
    </w:p>
    <w:p w14:paraId="6384D4FE" w14:textId="79EBFF6B" w:rsidR="002F0EB5" w:rsidRDefault="002F0EB5" w:rsidP="004D6CE4">
      <w:pPr>
        <w:ind w:right="1"/>
        <w:rPr>
          <w:rFonts w:ascii="Arial" w:hAnsi="Arial" w:cs="Arial"/>
        </w:rPr>
      </w:pPr>
    </w:p>
    <w:p w14:paraId="6DB2A255" w14:textId="77777777" w:rsidR="002F0EB5" w:rsidRDefault="002F0EB5" w:rsidP="004D6CE4">
      <w:pPr>
        <w:ind w:right="1"/>
        <w:rPr>
          <w:rFonts w:ascii="Arial" w:hAnsi="Arial" w:cs="Arial"/>
        </w:rPr>
      </w:pPr>
    </w:p>
    <w:p w14:paraId="6575B95D" w14:textId="796B2190" w:rsidR="008A3AB2" w:rsidRPr="00F5300E" w:rsidRDefault="008A3AB2" w:rsidP="008A3AB2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lastRenderedPageBreak/>
        <w:t>Tablica 1.: Popis ugovornih odnosa i slično koji uz ispunjenje određenih uvjeta mogu postati obveza, na dan 31. prosinca 2021. godine</w:t>
      </w:r>
    </w:p>
    <w:p w14:paraId="1DF37C50" w14:textId="20F4CB3A" w:rsidR="008A3AB2" w:rsidRDefault="008A3AB2" w:rsidP="008A3AB2">
      <w:pPr>
        <w:ind w:right="1"/>
        <w:rPr>
          <w:rFonts w:ascii="Arial" w:hAnsi="Arial"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1940"/>
        <w:gridCol w:w="1940"/>
        <w:gridCol w:w="1094"/>
        <w:gridCol w:w="2349"/>
        <w:gridCol w:w="1788"/>
      </w:tblGrid>
      <w:tr w:rsidR="008A3AB2" w:rsidRPr="008A3AB2" w14:paraId="26478CD9" w14:textId="77777777" w:rsidTr="008A3AB2">
        <w:trPr>
          <w:trHeight w:val="9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80A3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R.b</w:t>
            </w:r>
            <w:proofErr w:type="spellEnd"/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C46F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AE53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jamstva / instrumenta osiguranja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8625F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Iznos </w:t>
            </w: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(u kunama)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2A5D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1D07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8A3AB2" w:rsidRPr="008A3AB2" w14:paraId="2D1477F5" w14:textId="77777777" w:rsidTr="008A3AB2">
        <w:trPr>
          <w:trHeight w:val="4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0F9" w14:textId="5420194C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685" w14:textId="6E775F42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B96C" w14:textId="748E6155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4B6A" w14:textId="1538EB8C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D9A2" w14:textId="43B122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D133" w14:textId="7D840971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</w:tbl>
    <w:p w14:paraId="6A253274" w14:textId="77777777" w:rsidR="008A3AB2" w:rsidRPr="008A3AB2" w:rsidRDefault="008A3AB2" w:rsidP="008A3AB2">
      <w:pPr>
        <w:ind w:right="1"/>
        <w:rPr>
          <w:rFonts w:ascii="Arial" w:hAnsi="Arial" w:cs="Arial"/>
          <w:b/>
          <w:bCs/>
        </w:rPr>
      </w:pPr>
    </w:p>
    <w:p w14:paraId="08FB0EC8" w14:textId="001E50AA" w:rsidR="008A3AB2" w:rsidRDefault="008A3AB2" w:rsidP="004D6CE4">
      <w:pPr>
        <w:ind w:right="1"/>
        <w:rPr>
          <w:rFonts w:ascii="Arial" w:hAnsi="Arial" w:cs="Arial"/>
        </w:rPr>
      </w:pPr>
    </w:p>
    <w:p w14:paraId="3EB7DF43" w14:textId="77777777" w:rsidR="00511119" w:rsidRDefault="00511119" w:rsidP="004D6CE4">
      <w:pPr>
        <w:ind w:right="1"/>
        <w:rPr>
          <w:rFonts w:ascii="Arial" w:hAnsi="Arial" w:cs="Arial"/>
        </w:rPr>
      </w:pPr>
    </w:p>
    <w:p w14:paraId="67842FC5" w14:textId="55299386" w:rsidR="0030790B" w:rsidRDefault="0030790B" w:rsidP="004D6CE4">
      <w:pPr>
        <w:ind w:right="1"/>
        <w:rPr>
          <w:rFonts w:ascii="Arial" w:hAnsi="Arial" w:cs="Arial"/>
        </w:rPr>
      </w:pPr>
    </w:p>
    <w:p w14:paraId="370D584B" w14:textId="126D1544" w:rsidR="0030790B" w:rsidRPr="00F5300E" w:rsidRDefault="008A3AB2" w:rsidP="008A3AB2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t>Tablica 2.: Popis ugovornih odnosa i slično koji uz ispunjenje određenih uvjeta mogu postati imovina, na dan 31. prosinca 2021 godine</w:t>
      </w:r>
    </w:p>
    <w:p w14:paraId="7DD597FC" w14:textId="06349DEE" w:rsidR="008A3AB2" w:rsidRDefault="008A3AB2" w:rsidP="008A3AB2">
      <w:pPr>
        <w:ind w:right="1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2224"/>
        <w:gridCol w:w="2554"/>
        <w:gridCol w:w="1183"/>
        <w:gridCol w:w="1220"/>
        <w:gridCol w:w="1977"/>
      </w:tblGrid>
      <w:tr w:rsidR="008A3AB2" w:rsidRPr="008A3AB2" w14:paraId="54831F5B" w14:textId="77777777" w:rsidTr="008A3AB2">
        <w:trPr>
          <w:trHeight w:val="97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17ED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R.b</w:t>
            </w:r>
            <w:proofErr w:type="spellEnd"/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B5FB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2A02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jamstva / instrumenta osiguranja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6E15E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0ADE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BB60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8A3AB2" w:rsidRPr="008A3AB2" w14:paraId="2329B3EB" w14:textId="77777777" w:rsidTr="008A3AB2">
        <w:trPr>
          <w:trHeight w:val="69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6CB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205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146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OV-13881/2017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7DC0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E96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905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16.04.2023.</w:t>
            </w:r>
          </w:p>
        </w:tc>
      </w:tr>
      <w:tr w:rsidR="008A3AB2" w:rsidRPr="008A3AB2" w14:paraId="330EE8B6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0A3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97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13B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OV-1524/2021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4EBE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7AC7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MEDICAL INTERTRADE d.o.o. ZA UREDNO ISPUNJENJE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277E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14.02.20212.</w:t>
            </w:r>
          </w:p>
        </w:tc>
      </w:tr>
      <w:tr w:rsidR="008A3AB2" w:rsidRPr="008A3AB2" w14:paraId="4C8A7522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631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C1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2A5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OV-15248/2021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4E34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11B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MEDICAL INTERTRADE d.o.o. ZA UREDNO ISPUNJENJE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21E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14.02.2022.</w:t>
            </w:r>
          </w:p>
        </w:tc>
      </w:tr>
      <w:tr w:rsidR="008A3AB2" w:rsidRPr="008A3AB2" w14:paraId="52E3AEAC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78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84A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A48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BANKOVNA GARANCIJA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A3AB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1.103.788,52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A6EB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ZA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705E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04.09.2023.</w:t>
            </w:r>
          </w:p>
        </w:tc>
      </w:tr>
      <w:tr w:rsidR="008A3AB2" w:rsidRPr="008A3AB2" w14:paraId="607BC516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53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061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6B4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OV-144052020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9B93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17E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PHOENIX FARMACIJA d.o.o. ZA UREDNO IZVRŠENJE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563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14.02.2022.</w:t>
            </w:r>
          </w:p>
        </w:tc>
      </w:tr>
      <w:tr w:rsidR="008A3AB2" w:rsidRPr="008A3AB2" w14:paraId="4BC46CA5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AE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386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35CF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OV-5962/2020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2C2D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9C5A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MEDIKA d.o.o. ZA UREDNO ISPUNJENJE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190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14.02.2022.</w:t>
            </w:r>
          </w:p>
        </w:tc>
      </w:tr>
      <w:tr w:rsidR="008A3AB2" w:rsidRPr="008A3AB2" w14:paraId="0A9313B8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C6A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4D1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E23E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OV-428/2021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51C5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C61D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VINDIJA d.d.  ZA UREDNO IZVRŠENJE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0E5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31.12.2021.</w:t>
            </w:r>
          </w:p>
        </w:tc>
      </w:tr>
      <w:tr w:rsidR="008A3AB2" w:rsidRPr="008A3AB2" w14:paraId="0F0DBAE3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8A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8.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3C7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070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OV-429/2021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C1A3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3AC2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VINDIJA d.d.  ZA UREDNO IZVRŠENJE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0A0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31.12.2021.</w:t>
            </w:r>
          </w:p>
        </w:tc>
      </w:tr>
      <w:tr w:rsidR="008A3AB2" w:rsidRPr="008A3AB2" w14:paraId="4567E1B1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521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C621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9E2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OV-430/2021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1B69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56AB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VINDIJA d.d.  ZA UREDNO IZVRŠENJE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E1E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31.12.2021.</w:t>
            </w:r>
          </w:p>
        </w:tc>
      </w:tr>
      <w:tr w:rsidR="008A3AB2" w:rsidRPr="008A3AB2" w14:paraId="110261D8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DA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DED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E76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OV-431/2021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1EB9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78A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VINDIJA d.d.  ZA UREDNO IZVRŠENJE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333A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31.12.2021.</w:t>
            </w:r>
          </w:p>
        </w:tc>
      </w:tr>
      <w:tr w:rsidR="008A3AB2" w:rsidRPr="008A3AB2" w14:paraId="5C957107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67D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0A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869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OV-432/2021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D9A4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6EC6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VINDIJA d.d.  ZA UREDNO IZVRŠENJE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880F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31.12.2021.</w:t>
            </w:r>
          </w:p>
        </w:tc>
      </w:tr>
      <w:tr w:rsidR="008A3AB2" w:rsidRPr="008A3AB2" w14:paraId="73D2EA08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019E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FB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960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OV-8174/2019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1309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47D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ZKM d.o.o. UREDNO IZVRŠENJE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E70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14.02.2022.</w:t>
            </w:r>
          </w:p>
        </w:tc>
      </w:tr>
      <w:tr w:rsidR="008A3AB2" w:rsidRPr="008A3AB2" w14:paraId="1205056D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23B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62E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D52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OV-13879/2017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BFDF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7B0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ZA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353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16.04.2023.</w:t>
            </w:r>
          </w:p>
        </w:tc>
      </w:tr>
      <w:tr w:rsidR="008A3AB2" w:rsidRPr="008A3AB2" w14:paraId="2EA27538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1E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F37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560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OV-13880/2017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F673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848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ZA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E8D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16.04.2023.</w:t>
            </w:r>
          </w:p>
        </w:tc>
      </w:tr>
      <w:tr w:rsidR="008A3AB2" w:rsidRPr="008A3AB2" w14:paraId="3C4D1C44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B8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61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172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OV-13881/2017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5595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13FD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ZA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A91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16.04.2023.</w:t>
            </w:r>
          </w:p>
        </w:tc>
      </w:tr>
      <w:tr w:rsidR="008A3AB2" w:rsidRPr="008A3AB2" w14:paraId="1DAB165D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440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ACE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737B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OV-12691/2019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088E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0562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ZA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3341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31.03.2023.</w:t>
            </w:r>
          </w:p>
        </w:tc>
      </w:tr>
      <w:tr w:rsidR="008A3AB2" w:rsidRPr="008A3AB2" w14:paraId="3AC2853A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7C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6DC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9DF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OV-13878/2017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FB8C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1C8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ZA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30E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02.02.2023.</w:t>
            </w:r>
          </w:p>
        </w:tc>
      </w:tr>
      <w:tr w:rsidR="008A3AB2" w:rsidRPr="008A3AB2" w14:paraId="32ECE371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D93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CFF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57C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OV-10314/2021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47DB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4DA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EDING d.o.o. ZA OTKLANJANJE NEDOSTATAKA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3F1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VAŽENJA10.02.2023.</w:t>
            </w:r>
          </w:p>
        </w:tc>
      </w:tr>
      <w:tr w:rsidR="008A3AB2" w:rsidRPr="008A3AB2" w14:paraId="650D913F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459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5A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7A9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OV-3498/2020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6A77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23E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MEDIKA d.o.o. ZA UREDNO ISPUNJENJE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67F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VAŽENJA14.02.2022.</w:t>
            </w:r>
          </w:p>
        </w:tc>
      </w:tr>
      <w:tr w:rsidR="008A3AB2" w:rsidRPr="008A3AB2" w14:paraId="51D166CB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D4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8B7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9B2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OV-725/2020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57D2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DF6A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MEDIKA d.o.o. ZA UREDNO ISPUNJENJE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D45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VAŽENJA14.02.2022.</w:t>
            </w:r>
          </w:p>
        </w:tc>
      </w:tr>
      <w:tr w:rsidR="008A3AB2" w:rsidRPr="008A3AB2" w14:paraId="61718ACA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02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91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E4A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BJANKO ZADUŽNICA OV-726/2021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A434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332F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MEDIKA d.o.o. ZA UREDNO ISPUNJENJE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792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VAŽENJA14.02.2022.</w:t>
            </w:r>
          </w:p>
        </w:tc>
      </w:tr>
      <w:tr w:rsidR="008A3AB2" w:rsidRPr="008A3AB2" w14:paraId="48DCF4CE" w14:textId="77777777" w:rsidTr="008A3AB2">
        <w:trPr>
          <w:trHeight w:val="56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403F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B1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770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BANKOVNA GARANCIJA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F714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282.806,08 kn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8D7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VIGRA d.o.o. ZA UREDNO IZVRĐENJE UGOVORA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CCFE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ROK VAŽENJA 31.01.2022.</w:t>
            </w:r>
          </w:p>
        </w:tc>
      </w:tr>
    </w:tbl>
    <w:p w14:paraId="23709321" w14:textId="68458D97" w:rsidR="008A3AB2" w:rsidRPr="00F5300E" w:rsidRDefault="008A3AB2" w:rsidP="008A3AB2">
      <w:pPr>
        <w:ind w:right="1"/>
        <w:jc w:val="center"/>
        <w:rPr>
          <w:rFonts w:ascii="Arial" w:hAnsi="Arial" w:cs="Arial"/>
          <w:b/>
          <w:bCs/>
          <w:color w:val="C00000"/>
        </w:rPr>
      </w:pPr>
      <w:r w:rsidRPr="00F5300E">
        <w:rPr>
          <w:rFonts w:ascii="Arial" w:hAnsi="Arial" w:cs="Arial"/>
          <w:b/>
          <w:bCs/>
          <w:color w:val="C00000"/>
        </w:rPr>
        <w:lastRenderedPageBreak/>
        <w:t>Tablica 3.: Popis sudskih sporova u tijeku na dan 31.prosinca 2021. godine</w:t>
      </w:r>
    </w:p>
    <w:p w14:paraId="4F55D928" w14:textId="2B78C4AD" w:rsidR="008A3AB2" w:rsidRDefault="008A3AB2" w:rsidP="008A3AB2">
      <w:pPr>
        <w:ind w:right="1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837"/>
        <w:gridCol w:w="813"/>
        <w:gridCol w:w="1044"/>
        <w:gridCol w:w="1559"/>
        <w:gridCol w:w="851"/>
        <w:gridCol w:w="1039"/>
        <w:gridCol w:w="861"/>
        <w:gridCol w:w="825"/>
        <w:gridCol w:w="1381"/>
      </w:tblGrid>
      <w:tr w:rsidR="008A3AB2" w:rsidRPr="008A3AB2" w14:paraId="00C0DD6C" w14:textId="77777777" w:rsidTr="008A3AB2">
        <w:trPr>
          <w:trHeight w:val="15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8517A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R.b</w:t>
            </w:r>
            <w:proofErr w:type="spellEnd"/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A77A1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C522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9576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Tužitelj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AAFB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4844E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glavnice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4895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financijskog učinka koji može proisteći iz sudskog spora kao obveza ili imovina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5A2C1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Procijenjeno vrijeme odljeva ili priljeva sredstava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178EB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Početak sudskog spora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888B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8A3AB2" w:rsidRPr="008A3AB2" w14:paraId="3EE26D3B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A07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E17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96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Pr-107/15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0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DA5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Tužitelj traži isplatu troškova specijalizacije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AA63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757.212,00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A77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iznos, povećan iznos po vještaku</w:t>
            </w: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16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2042.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50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EA2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Prvostupanjska presuda u korist bolnice, predmet na II. stupanjskom sudu</w:t>
            </w:r>
          </w:p>
        </w:tc>
      </w:tr>
      <w:tr w:rsidR="008A3AB2" w:rsidRPr="008A3AB2" w14:paraId="7CE99BBD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2B5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DE2B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4E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A7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Pr-366/2018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39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Tužitelji traže sklapanje aneksa ugovora odnosno izmijenjeni ugovor sukladno Pravilniku o </w:t>
            </w:r>
            <w:proofErr w:type="spellStart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spec</w:t>
            </w:r>
            <w:proofErr w:type="spellEnd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usavršavanju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A68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939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trošak odvjetnika</w:t>
            </w: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79B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14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B9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Predmet na Vrhovnom sudu</w:t>
            </w:r>
          </w:p>
        </w:tc>
      </w:tr>
      <w:tr w:rsidR="008A3AB2" w:rsidRPr="008A3AB2" w14:paraId="7F22BC09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CB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18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71A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Pr-319/2019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DA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145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Tužitelj traži isplatu troškova specijalizacije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E82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865.740,65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DE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F27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2045.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2C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C0F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Predmet na prvostupanjskom sudu</w:t>
            </w:r>
          </w:p>
        </w:tc>
      </w:tr>
      <w:tr w:rsidR="008A3AB2" w:rsidRPr="008A3AB2" w14:paraId="0E03EB67" w14:textId="77777777" w:rsidTr="008A3AB2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9522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0E6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1A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P1633/10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C85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692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Tužitelj traži isplatu troškova specijalizacije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FFE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305.094,25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9AB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92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2029.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AAD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2010.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BD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Sud ranije dosudio Bolnici 317.298,27 kn od ukupnog troška (622.392,76 kn) te je poslije revizije ponovo na prvostupanjskom sudu za razliku</w:t>
            </w:r>
          </w:p>
        </w:tc>
      </w:tr>
      <w:tr w:rsidR="008A3AB2" w:rsidRPr="008A3AB2" w14:paraId="2E177AED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F2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8F9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15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P-60/2020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0F7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65F9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Tužitelj traži isplatu troškova sanacije  krovova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473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984.010,80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2F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F9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2024.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FA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2020.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9A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Predmet na I. stupanjskom sudu</w:t>
            </w:r>
          </w:p>
        </w:tc>
      </w:tr>
      <w:tr w:rsidR="008A3AB2" w:rsidRPr="008A3AB2" w14:paraId="79412A16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179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94D2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0B6A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 POVRV 73/13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2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36B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Ovrhovoditelj traži troškove liječenja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540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53.106,16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8DF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DF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Nepoznato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B61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951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Doneseno rješenje o ovrsi ali je po žalbi ukinuto. Spis na I.st. Sudu</w:t>
            </w:r>
          </w:p>
        </w:tc>
      </w:tr>
      <w:tr w:rsidR="008A3AB2" w:rsidRPr="008A3AB2" w14:paraId="5BBD77BC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82CE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99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1C9F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DC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Posl.Br. 30:Pr-2207/2020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B36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 isplate dijela plaće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2AA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6F6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081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2022. godine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235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30.12.2020.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70EF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  <w:tr w:rsidR="008A3AB2" w:rsidRPr="008A3AB2" w14:paraId="7FF2EAD5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B4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BBEE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5F9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24A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</w:t>
            </w:r>
            <w:proofErr w:type="spellEnd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br. Pr. 106/2021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2416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 isplate dijela plaće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3EC7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10.001,00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298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82E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2022. godine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22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12.03.2021.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BF18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  <w:tr w:rsidR="008A3AB2" w:rsidRPr="008A3AB2" w14:paraId="27277825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BF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60C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2BD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D85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</w:t>
            </w:r>
            <w:proofErr w:type="spellEnd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br.Pr</w:t>
            </w:r>
            <w:proofErr w:type="spellEnd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105/2021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0F6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 isplate dijela plaće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595A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10.001,00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AC7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F6E4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2022. godine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72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12.03.2021.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E1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  <w:tr w:rsidR="008A3AB2" w:rsidRPr="008A3AB2" w14:paraId="3AEF6F2A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ECB9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10.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416A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289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13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Posl.br.Pr</w:t>
            </w:r>
            <w:proofErr w:type="spellEnd"/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104/2021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2202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 isplate dijela plaće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E35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10.001,00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C0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348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2022. godine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44C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12.03.2021.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7EAC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  <w:tr w:rsidR="008A3AB2" w:rsidRPr="008A3AB2" w14:paraId="5EB73230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09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A2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0B26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830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Posl.br:21:Pr-54/2021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7ACE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štete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0893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425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12EB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2022. godine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930B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ožujak 2021.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E663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  <w:tr w:rsidR="008A3AB2" w:rsidRPr="008A3AB2" w14:paraId="28C52FF3" w14:textId="77777777" w:rsidTr="008A3AB2">
        <w:trPr>
          <w:trHeight w:val="10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4D8E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C9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131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3FB0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Posl.br.30:Pr-2209/2020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F23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 isplate razlike plaće (6%)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96D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10.001,00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1E3A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5051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2022. godine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492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30.12.2020.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4A6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  <w:tr w:rsidR="008A3AB2" w:rsidRPr="008A3AB2" w14:paraId="78D711C5" w14:textId="77777777" w:rsidTr="008A3AB2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669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86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DBCF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821F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Posl.br. Pr.251/2021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4B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 isplate razlike plaće (6%)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F4C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8.078,82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9208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 obveza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1F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2022. godine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E90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38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  <w:tr w:rsidR="008A3AB2" w:rsidRPr="008A3AB2" w14:paraId="2DCE0528" w14:textId="77777777" w:rsidTr="008A3AB2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A774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4C5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Psihijatrijska bolnica Rab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E52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PB Rab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32B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K-299/2015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5B3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štete pričinjenim kaznenim djelom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ACA" w14:textId="77777777" w:rsidR="008A3AB2" w:rsidRPr="008A3AB2" w:rsidRDefault="008A3AB2" w:rsidP="008A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786.829,92 kn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D67" w14:textId="77777777" w:rsidR="008A3AB2" w:rsidRPr="008A3AB2" w:rsidRDefault="008A3AB2" w:rsidP="008A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cjelokupan iznos</w:t>
            </w: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- imovina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4FF9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F35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7F86" w14:textId="77777777" w:rsidR="008A3AB2" w:rsidRPr="008A3AB2" w:rsidRDefault="008A3AB2" w:rsidP="008A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3A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Prvostupanjski postupak</w:t>
            </w:r>
          </w:p>
        </w:tc>
      </w:tr>
    </w:tbl>
    <w:p w14:paraId="531DDEF6" w14:textId="462F9740" w:rsidR="008A3AB2" w:rsidRDefault="008A3AB2" w:rsidP="008A3AB2">
      <w:pPr>
        <w:ind w:right="1"/>
        <w:jc w:val="both"/>
        <w:rPr>
          <w:rFonts w:ascii="Arial" w:hAnsi="Arial" w:cs="Arial"/>
          <w:b/>
          <w:bCs/>
        </w:rPr>
      </w:pPr>
    </w:p>
    <w:p w14:paraId="2ACA3C95" w14:textId="2B82DACD" w:rsidR="00517094" w:rsidRDefault="00517094" w:rsidP="008A3AB2">
      <w:pPr>
        <w:ind w:right="1"/>
        <w:jc w:val="both"/>
        <w:rPr>
          <w:rFonts w:ascii="Arial" w:hAnsi="Arial" w:cs="Arial"/>
          <w:b/>
          <w:bCs/>
        </w:rPr>
      </w:pPr>
    </w:p>
    <w:p w14:paraId="5610A690" w14:textId="790A7775" w:rsidR="00517094" w:rsidRDefault="00517094" w:rsidP="008A3AB2">
      <w:pPr>
        <w:ind w:right="1"/>
        <w:jc w:val="both"/>
        <w:rPr>
          <w:rFonts w:ascii="Arial" w:hAnsi="Arial" w:cs="Arial"/>
          <w:b/>
          <w:bCs/>
          <w:iCs/>
        </w:rPr>
      </w:pPr>
    </w:p>
    <w:p w14:paraId="2195C8F4" w14:textId="0A4AFF74" w:rsidR="002F0EB5" w:rsidRDefault="002F0EB5" w:rsidP="008A3AB2">
      <w:pPr>
        <w:ind w:right="1"/>
        <w:jc w:val="both"/>
        <w:rPr>
          <w:rFonts w:ascii="Arial" w:hAnsi="Arial" w:cs="Arial"/>
          <w:b/>
          <w:bCs/>
          <w:iCs/>
        </w:rPr>
      </w:pPr>
    </w:p>
    <w:p w14:paraId="7A36AB33" w14:textId="77777777" w:rsidR="002F0EB5" w:rsidRPr="008613C3" w:rsidRDefault="002F0EB5" w:rsidP="008A3AB2">
      <w:pPr>
        <w:ind w:right="1"/>
        <w:jc w:val="both"/>
        <w:rPr>
          <w:rFonts w:ascii="Arial" w:hAnsi="Arial" w:cs="Arial"/>
          <w:b/>
          <w:bCs/>
          <w:iCs/>
        </w:rPr>
      </w:pPr>
    </w:p>
    <w:p w14:paraId="0E7730AB" w14:textId="7C951200" w:rsidR="00517094" w:rsidRPr="008613C3" w:rsidRDefault="00517094" w:rsidP="00517094">
      <w:pPr>
        <w:tabs>
          <w:tab w:val="left" w:pos="0"/>
          <w:tab w:val="center" w:pos="4536"/>
        </w:tabs>
        <w:jc w:val="both"/>
        <w:rPr>
          <w:rFonts w:ascii="Arial" w:hAnsi="Arial" w:cs="Arial"/>
          <w:iCs/>
          <w:color w:val="000000"/>
        </w:rPr>
      </w:pPr>
      <w:r w:rsidRPr="008613C3">
        <w:rPr>
          <w:rFonts w:ascii="Arial" w:hAnsi="Arial" w:cs="Arial"/>
          <w:iCs/>
          <w:color w:val="000000"/>
        </w:rPr>
        <w:t>Rab, 31.siječnja 2022.g.</w:t>
      </w:r>
    </w:p>
    <w:p w14:paraId="4AD9A6BC" w14:textId="77777777" w:rsidR="00517094" w:rsidRPr="008613C3" w:rsidRDefault="00517094" w:rsidP="00517094">
      <w:pPr>
        <w:tabs>
          <w:tab w:val="left" w:pos="0"/>
          <w:tab w:val="center" w:pos="4536"/>
        </w:tabs>
        <w:jc w:val="both"/>
        <w:rPr>
          <w:rFonts w:ascii="Arial" w:hAnsi="Arial" w:cs="Arial"/>
          <w:iCs/>
          <w:color w:val="000000"/>
        </w:rPr>
      </w:pPr>
    </w:p>
    <w:tbl>
      <w:tblPr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517094" w:rsidRPr="008613C3" w14:paraId="08719701" w14:textId="77777777" w:rsidTr="007A09BB">
        <w:trPr>
          <w:trHeight w:val="715"/>
        </w:trPr>
        <w:tc>
          <w:tcPr>
            <w:tcW w:w="4644" w:type="dxa"/>
          </w:tcPr>
          <w:p w14:paraId="0D92C686" w14:textId="77777777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613C3">
              <w:rPr>
                <w:rFonts w:ascii="Arial" w:hAnsi="Arial" w:cs="Arial"/>
                <w:iCs/>
                <w:color w:val="000000"/>
              </w:rPr>
              <w:t>Pomoćnik ravnatelja za financijsko poslovanje</w:t>
            </w:r>
          </w:p>
          <w:p w14:paraId="52D6B136" w14:textId="60F4A53C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613C3">
              <w:rPr>
                <w:rFonts w:ascii="Arial" w:hAnsi="Arial" w:cs="Arial"/>
                <w:iCs/>
                <w:color w:val="000000"/>
              </w:rPr>
              <w:t>Ivica Beg, m</w:t>
            </w:r>
            <w:r w:rsidR="00E80C72">
              <w:rPr>
                <w:rFonts w:ascii="Arial" w:hAnsi="Arial" w:cs="Arial"/>
                <w:iCs/>
                <w:color w:val="000000"/>
              </w:rPr>
              <w:t>a</w:t>
            </w:r>
            <w:r w:rsidRPr="008613C3">
              <w:rPr>
                <w:rFonts w:ascii="Arial" w:hAnsi="Arial" w:cs="Arial"/>
                <w:iCs/>
                <w:color w:val="000000"/>
              </w:rPr>
              <w:t>g.oec.</w:t>
            </w:r>
          </w:p>
        </w:tc>
        <w:tc>
          <w:tcPr>
            <w:tcW w:w="4644" w:type="dxa"/>
          </w:tcPr>
          <w:p w14:paraId="115936BE" w14:textId="77777777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613C3">
              <w:rPr>
                <w:rFonts w:ascii="Arial" w:hAnsi="Arial" w:cs="Arial"/>
                <w:iCs/>
                <w:color w:val="000000"/>
              </w:rPr>
              <w:t>Voditelj službe za ekonomsko-financijske poslove</w:t>
            </w:r>
          </w:p>
          <w:p w14:paraId="2695CD80" w14:textId="77777777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613C3">
              <w:rPr>
                <w:rFonts w:ascii="Arial" w:hAnsi="Arial" w:cs="Arial"/>
                <w:iCs/>
                <w:color w:val="000000"/>
              </w:rPr>
              <w:t>Sabina Dedić, dipl.oec.</w:t>
            </w:r>
          </w:p>
          <w:p w14:paraId="5BF95CFF" w14:textId="77777777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517094" w:rsidRPr="008613C3" w14:paraId="38300E92" w14:textId="77777777" w:rsidTr="007A09BB">
        <w:trPr>
          <w:trHeight w:val="715"/>
        </w:trPr>
        <w:tc>
          <w:tcPr>
            <w:tcW w:w="4644" w:type="dxa"/>
          </w:tcPr>
          <w:p w14:paraId="08BAB837" w14:textId="77777777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4644" w:type="dxa"/>
          </w:tcPr>
          <w:p w14:paraId="7E39C7F4" w14:textId="77777777" w:rsidR="00517094" w:rsidRPr="008613C3" w:rsidRDefault="00517094" w:rsidP="00517094">
            <w:pPr>
              <w:rPr>
                <w:rFonts w:ascii="Arial" w:hAnsi="Arial" w:cs="Arial"/>
                <w:iCs/>
                <w:color w:val="000000"/>
              </w:rPr>
            </w:pPr>
          </w:p>
          <w:p w14:paraId="09B8E1C4" w14:textId="77777777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613C3">
              <w:rPr>
                <w:rFonts w:ascii="Arial" w:hAnsi="Arial" w:cs="Arial"/>
                <w:iCs/>
                <w:color w:val="000000"/>
              </w:rPr>
              <w:t>Ravnateljica</w:t>
            </w:r>
          </w:p>
          <w:p w14:paraId="14B9D514" w14:textId="77777777" w:rsidR="00517094" w:rsidRPr="008613C3" w:rsidRDefault="00517094" w:rsidP="007A09BB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613C3">
              <w:rPr>
                <w:rFonts w:ascii="Arial" w:hAnsi="Arial" w:cs="Arial"/>
                <w:iCs/>
                <w:color w:val="000000"/>
              </w:rPr>
              <w:t>izv.prof.dr.sc. Vesna Šendula Jengić, prim.dr.med.</w:t>
            </w:r>
          </w:p>
        </w:tc>
      </w:tr>
    </w:tbl>
    <w:p w14:paraId="4E6B8918" w14:textId="77777777" w:rsidR="00517094" w:rsidRPr="008A3AB2" w:rsidRDefault="00517094" w:rsidP="008A3AB2">
      <w:pPr>
        <w:ind w:right="1"/>
        <w:jc w:val="both"/>
        <w:rPr>
          <w:rFonts w:ascii="Arial" w:hAnsi="Arial" w:cs="Arial"/>
          <w:b/>
          <w:bCs/>
        </w:rPr>
      </w:pPr>
    </w:p>
    <w:sectPr w:rsidR="00517094" w:rsidRPr="008A3AB2" w:rsidSect="004D6CE4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53C4" w14:textId="77777777" w:rsidR="009953F8" w:rsidRDefault="009953F8" w:rsidP="00D418B3">
      <w:pPr>
        <w:spacing w:after="0" w:line="240" w:lineRule="auto"/>
      </w:pPr>
      <w:r>
        <w:separator/>
      </w:r>
    </w:p>
  </w:endnote>
  <w:endnote w:type="continuationSeparator" w:id="0">
    <w:p w14:paraId="483209F6" w14:textId="77777777" w:rsidR="009953F8" w:rsidRDefault="009953F8" w:rsidP="00D4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667502"/>
      <w:docPartObj>
        <w:docPartGallery w:val="Page Numbers (Bottom of Page)"/>
        <w:docPartUnique/>
      </w:docPartObj>
    </w:sdtPr>
    <w:sdtEndPr/>
    <w:sdtContent>
      <w:p w14:paraId="0C6973A6" w14:textId="60F5D962" w:rsidR="00D418B3" w:rsidRDefault="00D418B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D1614E" wp14:editId="3C57021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EB736" w14:textId="77777777" w:rsidR="00D418B3" w:rsidRDefault="00D418B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D1614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C8EB736" w14:textId="77777777" w:rsidR="00D418B3" w:rsidRDefault="00D418B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2E70" w14:textId="77777777" w:rsidR="009953F8" w:rsidRDefault="009953F8" w:rsidP="00D418B3">
      <w:pPr>
        <w:spacing w:after="0" w:line="240" w:lineRule="auto"/>
      </w:pPr>
      <w:r>
        <w:separator/>
      </w:r>
    </w:p>
  </w:footnote>
  <w:footnote w:type="continuationSeparator" w:id="0">
    <w:p w14:paraId="30F06B50" w14:textId="77777777" w:rsidR="009953F8" w:rsidRDefault="009953F8" w:rsidP="00D4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727"/>
    <w:multiLevelType w:val="hybridMultilevel"/>
    <w:tmpl w:val="369C688A"/>
    <w:lvl w:ilvl="0" w:tplc="06D45DA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5EF"/>
    <w:multiLevelType w:val="hybridMultilevel"/>
    <w:tmpl w:val="FC482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71A"/>
    <w:multiLevelType w:val="hybridMultilevel"/>
    <w:tmpl w:val="7514E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359B"/>
    <w:multiLevelType w:val="hybridMultilevel"/>
    <w:tmpl w:val="9CD66346"/>
    <w:lvl w:ilvl="0" w:tplc="ECC6ED8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058F"/>
    <w:multiLevelType w:val="multilevel"/>
    <w:tmpl w:val="D540B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228C"/>
    <w:multiLevelType w:val="hybridMultilevel"/>
    <w:tmpl w:val="21AAC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7AA7"/>
    <w:multiLevelType w:val="hybridMultilevel"/>
    <w:tmpl w:val="486E3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C5AD4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386E"/>
    <w:multiLevelType w:val="hybridMultilevel"/>
    <w:tmpl w:val="D7080230"/>
    <w:lvl w:ilvl="0" w:tplc="BBD2FA3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E4"/>
    <w:rsid w:val="00011C86"/>
    <w:rsid w:val="000221F1"/>
    <w:rsid w:val="00045A6B"/>
    <w:rsid w:val="00052B1C"/>
    <w:rsid w:val="000530D7"/>
    <w:rsid w:val="000A08B5"/>
    <w:rsid w:val="000B49BB"/>
    <w:rsid w:val="000F35FA"/>
    <w:rsid w:val="000F54E6"/>
    <w:rsid w:val="00101BF4"/>
    <w:rsid w:val="001679CB"/>
    <w:rsid w:val="00173DAE"/>
    <w:rsid w:val="00210D19"/>
    <w:rsid w:val="00222230"/>
    <w:rsid w:val="00282C69"/>
    <w:rsid w:val="002B0390"/>
    <w:rsid w:val="002D7E2F"/>
    <w:rsid w:val="002F0EB5"/>
    <w:rsid w:val="0030790B"/>
    <w:rsid w:val="0031461D"/>
    <w:rsid w:val="00326156"/>
    <w:rsid w:val="00382DE2"/>
    <w:rsid w:val="003954F5"/>
    <w:rsid w:val="003A2FD9"/>
    <w:rsid w:val="003C142F"/>
    <w:rsid w:val="003D670C"/>
    <w:rsid w:val="003E088F"/>
    <w:rsid w:val="003E3686"/>
    <w:rsid w:val="0040218C"/>
    <w:rsid w:val="00430726"/>
    <w:rsid w:val="00442641"/>
    <w:rsid w:val="004579DE"/>
    <w:rsid w:val="00471623"/>
    <w:rsid w:val="00476DEF"/>
    <w:rsid w:val="004B1D50"/>
    <w:rsid w:val="004C16BF"/>
    <w:rsid w:val="004D3A20"/>
    <w:rsid w:val="004D6CE4"/>
    <w:rsid w:val="004F6553"/>
    <w:rsid w:val="00511119"/>
    <w:rsid w:val="00517094"/>
    <w:rsid w:val="0055747A"/>
    <w:rsid w:val="0056249A"/>
    <w:rsid w:val="00586628"/>
    <w:rsid w:val="005B13BE"/>
    <w:rsid w:val="005B3D63"/>
    <w:rsid w:val="005B795E"/>
    <w:rsid w:val="0060561D"/>
    <w:rsid w:val="00623F7F"/>
    <w:rsid w:val="006305DF"/>
    <w:rsid w:val="00640C40"/>
    <w:rsid w:val="006435AC"/>
    <w:rsid w:val="0068284F"/>
    <w:rsid w:val="006834EE"/>
    <w:rsid w:val="00686568"/>
    <w:rsid w:val="00692AAC"/>
    <w:rsid w:val="006A3832"/>
    <w:rsid w:val="006B4762"/>
    <w:rsid w:val="006B5355"/>
    <w:rsid w:val="006D4F94"/>
    <w:rsid w:val="006E3B54"/>
    <w:rsid w:val="00702A22"/>
    <w:rsid w:val="00725FEA"/>
    <w:rsid w:val="00750315"/>
    <w:rsid w:val="00770D97"/>
    <w:rsid w:val="00772A0E"/>
    <w:rsid w:val="00793CBC"/>
    <w:rsid w:val="007A48FF"/>
    <w:rsid w:val="007B6D18"/>
    <w:rsid w:val="007B6E32"/>
    <w:rsid w:val="007C70BA"/>
    <w:rsid w:val="007E6933"/>
    <w:rsid w:val="007F087B"/>
    <w:rsid w:val="00824FE5"/>
    <w:rsid w:val="008613C3"/>
    <w:rsid w:val="008A3AB2"/>
    <w:rsid w:val="008E788D"/>
    <w:rsid w:val="008F3537"/>
    <w:rsid w:val="009251C4"/>
    <w:rsid w:val="009265E3"/>
    <w:rsid w:val="0097164D"/>
    <w:rsid w:val="009777E5"/>
    <w:rsid w:val="009953F8"/>
    <w:rsid w:val="009A14A2"/>
    <w:rsid w:val="009C4202"/>
    <w:rsid w:val="009C64D8"/>
    <w:rsid w:val="009C7907"/>
    <w:rsid w:val="009E5DF9"/>
    <w:rsid w:val="00A05C28"/>
    <w:rsid w:val="00A25E6E"/>
    <w:rsid w:val="00A427F3"/>
    <w:rsid w:val="00A5562B"/>
    <w:rsid w:val="00A87D66"/>
    <w:rsid w:val="00AA51D6"/>
    <w:rsid w:val="00AB2D2A"/>
    <w:rsid w:val="00B04B0B"/>
    <w:rsid w:val="00B0659B"/>
    <w:rsid w:val="00B17A3B"/>
    <w:rsid w:val="00B30228"/>
    <w:rsid w:val="00B35A21"/>
    <w:rsid w:val="00B35BE8"/>
    <w:rsid w:val="00B51ECE"/>
    <w:rsid w:val="00B82362"/>
    <w:rsid w:val="00BA3BB5"/>
    <w:rsid w:val="00BC305E"/>
    <w:rsid w:val="00BD7F69"/>
    <w:rsid w:val="00BE301F"/>
    <w:rsid w:val="00BF718A"/>
    <w:rsid w:val="00C35923"/>
    <w:rsid w:val="00C72DA6"/>
    <w:rsid w:val="00C773F6"/>
    <w:rsid w:val="00C85A5F"/>
    <w:rsid w:val="00C86D73"/>
    <w:rsid w:val="00CB1279"/>
    <w:rsid w:val="00CF782C"/>
    <w:rsid w:val="00D051A2"/>
    <w:rsid w:val="00D418B3"/>
    <w:rsid w:val="00D76B83"/>
    <w:rsid w:val="00D84BD4"/>
    <w:rsid w:val="00D95414"/>
    <w:rsid w:val="00D96243"/>
    <w:rsid w:val="00DA2B12"/>
    <w:rsid w:val="00DA4345"/>
    <w:rsid w:val="00DB3834"/>
    <w:rsid w:val="00DD29B2"/>
    <w:rsid w:val="00DD368C"/>
    <w:rsid w:val="00E11211"/>
    <w:rsid w:val="00E168B2"/>
    <w:rsid w:val="00E21E0F"/>
    <w:rsid w:val="00E76F2C"/>
    <w:rsid w:val="00E80C72"/>
    <w:rsid w:val="00E907AA"/>
    <w:rsid w:val="00E979C3"/>
    <w:rsid w:val="00ED15E6"/>
    <w:rsid w:val="00EF251F"/>
    <w:rsid w:val="00F2401D"/>
    <w:rsid w:val="00F34114"/>
    <w:rsid w:val="00F5300E"/>
    <w:rsid w:val="00F75687"/>
    <w:rsid w:val="00FB10EA"/>
    <w:rsid w:val="00FC3DF8"/>
    <w:rsid w:val="00FE101B"/>
    <w:rsid w:val="00FE106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CE36"/>
  <w15:chartTrackingRefBased/>
  <w15:docId w15:val="{2B7F4777-7B31-4B6D-BF9C-BA4C7D1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4">
    <w:name w:val="Grid Table 5 Dark Accent 4"/>
    <w:basedOn w:val="Obinatablica"/>
    <w:uiPriority w:val="50"/>
    <w:rsid w:val="00F341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Odlomakpopisa">
    <w:name w:val="List Paragraph"/>
    <w:basedOn w:val="Normal"/>
    <w:uiPriority w:val="34"/>
    <w:qFormat/>
    <w:rsid w:val="009C420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18B3"/>
  </w:style>
  <w:style w:type="paragraph" w:styleId="Podnoje">
    <w:name w:val="footer"/>
    <w:basedOn w:val="Normal"/>
    <w:link w:val="PodnojeChar"/>
    <w:uiPriority w:val="99"/>
    <w:unhideWhenUsed/>
    <w:rsid w:val="00D4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18</Pages>
  <Words>7625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Beg</dc:creator>
  <cp:keywords/>
  <dc:description/>
  <cp:lastModifiedBy>Ivica Beg</cp:lastModifiedBy>
  <cp:revision>27</cp:revision>
  <cp:lastPrinted>2022-01-31T09:43:00Z</cp:lastPrinted>
  <dcterms:created xsi:type="dcterms:W3CDTF">2022-01-28T11:24:00Z</dcterms:created>
  <dcterms:modified xsi:type="dcterms:W3CDTF">2022-02-01T10:01:00Z</dcterms:modified>
</cp:coreProperties>
</file>